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竞争性磋商采购文件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采购编号：JSZC-320506-SZZT-C2025-0012号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采购项目：2025年甪直镇区市容市貌提升配套服务</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采购单位：苏州市吴中区甪直镇人民政府（苏州市吴中区甪</w:t>
      </w:r>
      <w:r/>
    </w:p>
    <w:p>
      <w:pPr>
        <w:ind w:firstLine="2698"/>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直镇综合行政执法和安全生产监督管理办公室）</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二〇二五年十月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2025年甪直镇区市容市貌提升配套服务</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不需提交，磋商文件中有关保证金的规定均不适用。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2020〕7号文，本项目不收投标保证金。投标人应在投标文件中提交《投标保证承诺书》（详见附件）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shd w:val="clear" w:color="auto" w:fill="ffffff"/>
              </w:rPr>
              <w:t xml:space="preserve">本项目采用电子投标文件，投标人按照招标文件要求制作上传电子投标文件，投标人无需提供纸质投标文件。</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2025年</w:t>
            </w:r>
            <w:r>
              <w:rPr>
                <w:rFonts w:hint="eastAsia" w:ascii="宋体" w:hAnsi="宋体" w:eastAsia="宋体" w:cs="宋体"/>
                <w:szCs w:val="21"/>
              </w:rPr>
              <w:t xml:space="preserve">11</w:t>
            </w:r>
            <w:r>
              <w:rPr>
                <w:rFonts w:ascii="宋体" w:hAnsi="宋体" w:eastAsia="宋体" w:cs="宋体"/>
                <w:szCs w:val="21"/>
              </w:rPr>
              <w:t xml:space="preserve">月</w:t>
            </w:r>
            <w:r>
              <w:rPr>
                <w:rFonts w:hint="eastAsia" w:ascii="宋体" w:hAnsi="宋体" w:eastAsia="宋体" w:cs="宋体"/>
                <w:szCs w:val="21"/>
              </w:rPr>
              <w:t xml:space="preserve">12</w:t>
            </w:r>
            <w:r>
              <w:rPr>
                <w:rFonts w:ascii="宋体" w:hAnsi="宋体" w:eastAsia="宋体" w:cs="宋体"/>
                <w:szCs w:val="21"/>
              </w:rPr>
              <w:t xml:space="preserve">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投标文件必须在截止时间前完成提交（上传），逾期提交（上传）的投标文件恕不接受。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2025年</w:t>
            </w:r>
            <w:r>
              <w:rPr>
                <w:rFonts w:hint="eastAsia" w:ascii="宋体" w:hAnsi="宋体" w:eastAsia="宋体" w:cs="宋体"/>
                <w:szCs w:val="21"/>
              </w:rPr>
              <w:t xml:space="preserve">11</w:t>
            </w:r>
            <w:r>
              <w:rPr>
                <w:rFonts w:ascii="宋体" w:hAnsi="宋体" w:eastAsia="宋体" w:cs="宋体"/>
                <w:szCs w:val="21"/>
              </w:rPr>
              <w:t xml:space="preserve">月</w:t>
            </w:r>
            <w:r>
              <w:rPr>
                <w:rFonts w:hint="eastAsia" w:ascii="宋体" w:hAnsi="宋体" w:eastAsia="宋体" w:cs="宋体"/>
                <w:szCs w:val="21"/>
              </w:rPr>
              <w:t xml:space="preserve">12</w:t>
            </w:r>
            <w:r>
              <w:rPr>
                <w:rFonts w:ascii="宋体" w:hAnsi="宋体" w:eastAsia="宋体" w:cs="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 CA证书解密电子投标文件，如在系统规定的解密时间（投标文件提交截止时间后30分钟）内未能完成解密的视为放弃投标。</w:t>
            </w:r>
            <w:r/>
          </w:p>
        </w:tc>
      </w:tr>
      <w:tr>
        <w:trPr>
          <w:jc w:val="center"/>
          <w:trHeight w:val="1073"/>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2025年11月</w:t>
            </w:r>
            <w:r>
              <w:rPr>
                <w:rFonts w:hint="eastAsia" w:ascii="宋体" w:hAnsi="宋体" w:eastAsia="宋体"/>
                <w:szCs w:val="21"/>
              </w:rPr>
              <w:t xml:space="preserve">12</w:t>
            </w:r>
            <w:r>
              <w:rPr>
                <w:rFonts w:hint="eastAsia" w:ascii="宋体" w:hAnsi="宋体" w:eastAsia="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szCs w:val="21"/>
              </w:rPr>
              <w:t xml:space="preserve">苏州市姑苏区平</w:t>
            </w:r>
            <w:r>
              <w:rPr>
                <w:rFonts w:hint="eastAsia" w:ascii="宋体" w:hAnsi="宋体" w:eastAsia="宋体"/>
                <w:szCs w:val="21"/>
              </w:rPr>
              <w:t xml:space="preserve">泷</w:t>
            </w:r>
            <w:r>
              <w:rPr>
                <w:rFonts w:hint="eastAsia" w:ascii="宋体" w:hAnsi="宋体" w:eastAsia="宋体"/>
                <w:szCs w:val="21"/>
              </w:rPr>
              <w:t xml:space="preserve">路251号城市生活广场西楼五楼</w:t>
            </w:r>
            <w:r/>
          </w:p>
        </w:tc>
      </w:tr>
      <w:tr>
        <w:trPr>
          <w:jc w:val="center"/>
          <w:trHeight w:val="4201"/>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成交</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（二）未按照采购文件规定要求装订、密封、签署、盖章的；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一、磋商公告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二、磋商须知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0" w:name="_Hlk159596367"/>
      <w:r>
        <w:rPr>
          <w:rFonts w:hint="eastAsia" w:ascii="宋体" w:hAnsi="宋体" w:eastAsia="宋体" w:cs="宋体"/>
          <w:sz w:val="44"/>
          <w:szCs w:val="44"/>
        </w:rPr>
        <w:t xml:space="preserve">采购内容</w:t>
      </w:r>
      <w:bookmarkEnd w:id="0"/>
      <w:r/>
      <w:r/>
    </w:p>
    <w:p>
      <w:pPr>
        <w:ind w:firstLine="880"/>
        <w:tabs>
          <w:tab w:val="left" w:pos="315" w:leader="none"/>
          <w:tab w:val="center" w:pos="4153" w:leader="none"/>
        </w:tabs>
        <w:rPr>
          <w:rFonts w:hint="eastAsia" w:ascii="宋体" w:hAnsi="宋体" w:cs="宋体"/>
          <w:sz w:val="44"/>
          <w:szCs w:val="44"/>
        </w:rPr>
      </w:pPr>
      <w:r/>
      <w:bookmarkStart w:id="1" w:name="_Hlk159596385"/>
      <w:r>
        <w:rPr>
          <w:rFonts w:hint="eastAsia" w:ascii="宋体" w:hAnsi="宋体" w:eastAsia="宋体" w:cs="宋体"/>
          <w:sz w:val="44"/>
          <w:szCs w:val="44"/>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2" w:name="_Hlk159596421"/>
      <w:r>
        <w:rPr>
          <w:rFonts w:hint="eastAsia" w:ascii="宋体" w:hAnsi="宋体" w:eastAsia="宋体" w:cs="宋体"/>
          <w:sz w:val="44"/>
          <w:szCs w:val="44"/>
        </w:rPr>
        <w:t xml:space="preserve">合同主要条款及格式</w:t>
      </w:r>
      <w:bookmarkEnd w:id="2"/>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六、磋商响应文件格式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一、磋商公告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w:t>
      </w:r>
      <w:bookmarkStart w:id="3" w:name="OLE_LINK2"/>
      <w:r>
        <w:rPr>
          <w:rFonts w:hint="eastAsia" w:ascii="宋体" w:hAnsi="宋体" w:eastAsia="宋体" w:cs="宋体"/>
          <w:bCs/>
          <w:szCs w:val="21"/>
          <w:u w:val="single"/>
        </w:rPr>
        <w:t xml:space="preserve">甪直镇人民政府</w:t>
      </w:r>
      <w:bookmarkEnd w:id="3"/>
      <w:r>
        <w:rPr>
          <w:rFonts w:hint="eastAsia" w:ascii="宋体" w:hAnsi="宋体" w:eastAsia="宋体" w:cs="宋体"/>
          <w:bCs/>
          <w:szCs w:val="21"/>
          <w:u w:val="single"/>
        </w:rPr>
        <w:t xml:space="preserve">（苏州市吴中区甪直镇综合行政执法和安全生产监督管理办公室）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2025年甪直镇区市容市貌提升配套服务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2025年11月</w:t>
      </w:r>
      <w:r>
        <w:rPr>
          <w:rFonts w:hint="eastAsia" w:ascii="宋体" w:hAnsi="宋体" w:eastAsia="宋体"/>
          <w:b/>
          <w:bCs/>
          <w:szCs w:val="21"/>
          <w:u w:val="single"/>
        </w:rPr>
        <w:t xml:space="preserve">12</w:t>
      </w:r>
      <w:r>
        <w:rPr>
          <w:rFonts w:hint="eastAsia" w:ascii="宋体" w:hAnsi="宋体" w:eastAsia="宋体"/>
          <w:b/>
          <w:bCs/>
          <w:szCs w:val="21"/>
          <w:u w:val="single"/>
        </w:rPr>
        <w:t xml:space="preserve">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前提交响应</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JSZC-320506-SZZT-C2025-0012</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2、项目名称：2025年甪直镇区市容市貌提升配套服务</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3、采购方式：竞争性磋商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4、预算金额：人民币大写：贰佰壹拾贰万元整（小写</w:t>
      </w:r>
      <w:r>
        <w:rPr>
          <w:rFonts w:ascii="宋体" w:hAnsi="宋体" w:eastAsia="宋体" w:cs="Times New Roman"/>
          <w:bCs/>
          <w:szCs w:val="21"/>
        </w:rPr>
        <w:t xml:space="preserve">2120000</w:t>
      </w:r>
      <w:r>
        <w:rPr>
          <w:rFonts w:hint="eastAsia" w:ascii="宋体" w:hAnsi="宋体" w:eastAsia="宋体" w:cs="Times New Roman"/>
          <w:bCs/>
          <w:szCs w:val="21"/>
        </w:rPr>
        <w:t xml:space="preserve">.00元）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w:t>
      </w:r>
      <w:r>
        <w:rPr>
          <w:rFonts w:hint="eastAsia" w:ascii="宋体" w:hAnsi="宋体" w:eastAsia="宋体" w:cs="Times New Roman"/>
          <w:bCs/>
          <w:szCs w:val="21"/>
        </w:rPr>
        <w:t xml:space="preserve">根据需要对重点部位安排人员进行市场化运作及各路段的协助巡查工作</w:t>
      </w:r>
      <w:r>
        <w:rPr>
          <w:rFonts w:hint="eastAsia" w:ascii="宋体" w:hAnsi="宋体" w:eastAsia="宋体" w:cs="Times New Roman"/>
          <w:bCs/>
          <w:szCs w:val="21"/>
        </w:rPr>
        <w:t xml:space="preserve">。</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w:t>
      </w:r>
      <w:r>
        <w:rPr>
          <w:rFonts w:hint="eastAsia" w:ascii="宋体" w:hAnsi="宋体" w:eastAsia="宋体" w:cs="Times New Roman"/>
          <w:bCs/>
          <w:szCs w:val="21"/>
        </w:rPr>
        <w:t xml:space="preserve">机动整治：主要针对拟市场化协助配套运作各路段小广告清理、非机动车道板停放等工作。有针对性按照实际需要随时进行调整</w:t>
      </w:r>
      <w:r>
        <w:rPr>
          <w:rFonts w:hint="eastAsia" w:ascii="宋体" w:hAnsi="宋体" w:eastAsia="宋体" w:cs="Times New Roman"/>
          <w:bCs/>
          <w:szCs w:val="21"/>
        </w:rPr>
        <w:t xml:space="preserve">。</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w:t>
      </w:r>
      <w:r>
        <w:rPr>
          <w:rFonts w:hint="eastAsia" w:ascii="宋体" w:hAnsi="宋体" w:eastAsia="宋体" w:cs="Times New Roman"/>
          <w:bCs/>
          <w:szCs w:val="21"/>
        </w:rPr>
        <w:t xml:space="preserve">突发应急处置：发生各类重大事件或临时任务时，增派应急处突保安员</w:t>
      </w:r>
      <w:r>
        <w:rPr>
          <w:rFonts w:hint="eastAsia" w:ascii="宋体" w:hAnsi="宋体" w:eastAsia="宋体" w:cs="Times New Roman"/>
          <w:bCs/>
          <w:szCs w:val="21"/>
        </w:rPr>
        <w:t xml:space="preserve">。  </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6、服务期限：壹年（具体时间根据采购方要求）。</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4" w:name="_Toc28359013"/>
      <w:r/>
      <w:bookmarkStart w:id="5" w:name="_Toc35393630"/>
      <w:r/>
      <w:bookmarkStart w:id="6" w:name="_Toc35393799"/>
      <w:r/>
      <w:bookmarkStart w:id="7" w:name="_Toc28359090"/>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4"/>
      <w:r/>
      <w:bookmarkEnd w:id="5"/>
      <w:r/>
      <w:bookmarkEnd w:id="6"/>
      <w:r/>
      <w:bookmarkEnd w:id="7"/>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w:t>
      </w:r>
      <w:bookmarkStart w:id="8" w:name="_Hlk212470896"/>
      <w:r>
        <w:rPr>
          <w:rFonts w:hint="eastAsia" w:ascii="宋体" w:hAnsi="宋体" w:eastAsia="宋体" w:cs="Times New Roman"/>
          <w:b/>
          <w:szCs w:val="21"/>
        </w:rPr>
        <w:t xml:space="preserve">：租赁和商务服务业</w:t>
      </w:r>
      <w:bookmarkEnd w:id="8"/>
      <w:r>
        <w:rPr>
          <w:rFonts w:hint="eastAsia" w:ascii="宋体" w:hAnsi="宋体" w:eastAsia="宋体" w:cs="Times New Roman"/>
          <w:b/>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bookmarkStart w:id="9" w:name="_Toc35393631"/>
      <w:r/>
      <w:bookmarkStart w:id="10" w:name="_Toc35393800"/>
      <w:r>
        <w:rPr>
          <w:rFonts w:hint="eastAsia" w:ascii="宋体" w:hAnsi="宋体" w:eastAsia="宋体" w:cs="Times New Roman"/>
          <w:szCs w:val="21"/>
        </w:rPr>
        <w:t xml:space="preserve">3.1未被“信用中国”网站或“中国政府采购网”网站列入失信被执行人、重大税收违法案件当事人名单、政府采购严重失信行为记录名单；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11" w:name="_Toc35393636"/>
      <w:r/>
      <w:bookmarkStart w:id="12" w:name="_Toc28359095"/>
      <w:r/>
      <w:bookmarkStart w:id="13" w:name="_Toc28359018"/>
      <w:r/>
      <w:bookmarkStart w:id="14" w:name="_Toc35393805"/>
      <w:r/>
      <w:bookmarkEnd w:id="9"/>
      <w:r/>
      <w:bookmarkEnd w:id="10"/>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”）并导入政府采购客户端工具后方可进行响应文件制作和提交（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，网址链接https://czju.suzhou.gov.cn/zfcg/html/content/20231220161910031.shtml）。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系统参与政府采购项目，需要办理上述CA数字证书和电子签章（办理地点：苏州市姑苏区平</w:t>
      </w:r>
      <w:r>
        <w:rPr>
          <w:rFonts w:hint="eastAsia" w:ascii="宋体" w:hAnsi="宋体" w:eastAsia="宋体" w:cs="宋体"/>
          <w:szCs w:val="21"/>
        </w:rPr>
        <w:t xml:space="preserve">泷</w:t>
      </w:r>
      <w:r>
        <w:rPr>
          <w:rFonts w:hint="eastAsia" w:ascii="宋体" w:hAnsi="宋体" w:eastAsia="宋体" w:cs="宋体"/>
          <w:szCs w:val="21"/>
        </w:rPr>
        <w:t xml:space="preserve">路251号政府服务中心4楼交易中心窗口，窗口电话：0512—69820834）</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系统使用指导与咨询：联系电话：18261002950；QQ：3048755361、1315179389、895706745。</w:t>
      </w:r>
      <w:r/>
    </w:p>
    <w:p>
      <w:pPr>
        <w:ind w:firstLine="422"/>
        <w:jc w:val="left"/>
        <w:spacing w:line="360" w:lineRule="auto"/>
        <w:widowControl/>
        <w:rPr>
          <w:rFonts w:hint="eastAsia" w:ascii="宋体" w:hAnsi="宋体" w:eastAsia="宋体" w:cs="Times New Roman"/>
          <w:b/>
          <w:szCs w:val="21"/>
        </w:rPr>
      </w:pPr>
      <w:r/>
      <w:bookmarkStart w:id="15" w:name="_Toc35393801"/>
      <w:r/>
      <w:bookmarkStart w:id="16" w:name="_Toc28359015"/>
      <w:r/>
      <w:bookmarkStart w:id="17" w:name="_Toc35393632"/>
      <w:r/>
      <w:bookmarkStart w:id="18" w:name="_Toc28359092"/>
      <w:r>
        <w:rPr>
          <w:rFonts w:hint="eastAsia" w:ascii="宋体" w:hAnsi="宋体" w:eastAsia="宋体" w:cs="Times New Roman"/>
          <w:b/>
          <w:szCs w:val="21"/>
        </w:rPr>
        <w:t xml:space="preserve">四、提交响应文件</w:t>
      </w:r>
      <w:bookmarkEnd w:id="15"/>
      <w:r/>
      <w:bookmarkEnd w:id="16"/>
      <w:r/>
      <w:bookmarkEnd w:id="17"/>
      <w:r/>
      <w:bookmarkEnd w:id="18"/>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19" w:name="_Toc28359094"/>
      <w:r/>
      <w:bookmarkStart w:id="20" w:name="_Toc28359017"/>
      <w:r/>
      <w:bookmarkStart w:id="21" w:name="_Toc35393803"/>
      <w:r/>
      <w:bookmarkStart w:id="22" w:name="_Toc35393634"/>
      <w:r>
        <w:rPr>
          <w:rFonts w:hint="eastAsia" w:ascii="宋体" w:hAnsi="宋体" w:eastAsia="宋体" w:cs="宋体"/>
          <w:szCs w:val="21"/>
        </w:rPr>
        <w:t xml:space="preserve">2025年11月</w:t>
      </w:r>
      <w:r>
        <w:rPr>
          <w:rFonts w:hint="eastAsia" w:ascii="宋体" w:hAnsi="宋体" w:eastAsia="宋体" w:cs="宋体"/>
          <w:szCs w:val="21"/>
        </w:rPr>
        <w:t xml:space="preserve">12</w:t>
      </w:r>
      <w:r>
        <w:rPr>
          <w:rFonts w:hint="eastAsia" w:ascii="宋体" w:hAnsi="宋体" w:eastAsia="宋体" w:cs="宋体"/>
          <w:szCs w:val="21"/>
        </w:rPr>
        <w:t xml:space="preserve">日</w:t>
      </w:r>
      <w:r>
        <w:rPr>
          <w:rFonts w:ascii="宋体" w:hAnsi="宋体" w:eastAsia="宋体" w:cs="宋体"/>
          <w:szCs w:val="21"/>
        </w:rPr>
        <w:t xml:space="preserve">09</w:t>
      </w:r>
      <w:r>
        <w:rPr>
          <w:rFonts w:hint="eastAsia" w:ascii="宋体" w:hAnsi="宋体" w:eastAsia="宋体" w:cs="宋体"/>
          <w:szCs w:val="21"/>
        </w:rPr>
        <w:t xml:space="preserve">：30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hyperlink r:id="rId12" w:tooltip="http://jszfcg.jsczt.cn/），响应文件网上递交，不需要现场参加采购活动。" w:history="1">
        <w:r>
          <w:rPr>
            <w:rStyle w:val="1090"/>
            <w:rFonts w:hint="eastAsia" w:ascii="宋体" w:hAnsi="宋体" w:cs="宋体"/>
            <w:color w:val="auto"/>
            <w:szCs w:val="21"/>
          </w:rPr>
          <w:t xml:space="preserve">http://jszfcg.jsczt.cn/），响应文件网上递交，不需要现场参加采购活动。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w:t>
      </w:r>
      <w:r>
        <w:rPr>
          <w:rFonts w:hint="eastAsia" w:ascii="宋体" w:hAnsi="宋体" w:eastAsia="宋体" w:cs="宋体"/>
          <w:b/>
          <w:bCs/>
          <w:szCs w:val="21"/>
        </w:rPr>
        <w:t xml:space="preserve">见面磋商</w:t>
      </w:r>
      <w:r>
        <w:rPr>
          <w:rFonts w:hint="eastAsia" w:ascii="宋体" w:hAnsi="宋体" w:eastAsia="宋体" w:cs="宋体"/>
          <w:b/>
          <w:bCs/>
          <w:szCs w:val="21"/>
        </w:rPr>
        <w:t xml:space="preserve">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19"/>
      <w:r/>
      <w:bookmarkEnd w:id="20"/>
      <w:r/>
      <w:bookmarkEnd w:id="21"/>
      <w:r/>
      <w:bookmarkEnd w:id="22"/>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widowControl/>
        <w:rPr>
          <w:rFonts w:hint="eastAsia" w:ascii="宋体" w:hAnsi="宋体" w:eastAsia="宋体" w:cs="Times New Roman"/>
          <w:b/>
          <w:szCs w:val="21"/>
        </w:rPr>
      </w:pPr>
      <w:r/>
      <w:bookmarkStart w:id="23" w:name="_Toc35393635"/>
      <w:r/>
      <w:bookmarkStart w:id="24" w:name="_Toc35393804"/>
      <w:r>
        <w:rPr>
          <w:rFonts w:hint="eastAsia" w:ascii="宋体" w:hAnsi="宋体" w:eastAsia="宋体" w:cs="Times New Roman"/>
          <w:b/>
          <w:szCs w:val="21"/>
        </w:rPr>
        <w:t xml:space="preserve">六、其他补充事宜</w:t>
      </w:r>
      <w:bookmarkEnd w:id="23"/>
      <w:r/>
      <w:bookmarkEnd w:id="24"/>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系统供应商操作手册》进行制作、上传电子响应文件。电子响应文件制作完成后请于响应文件递交截止时间前成功上传至“苏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5" w:name="_Toc35393806"/>
      <w:r/>
      <w:bookmarkStart w:id="26" w:name="_Toc28359019"/>
      <w:r/>
      <w:bookmarkStart w:id="27" w:name="_Toc28359096"/>
      <w:r/>
      <w:bookmarkStart w:id="28" w:name="_Toc35393637"/>
      <w:r/>
      <w:bookmarkEnd w:id="11"/>
      <w:r/>
      <w:bookmarkEnd w:id="12"/>
      <w:r/>
      <w:bookmarkEnd w:id="13"/>
      <w:r/>
      <w:bookmarkEnd w:id="14"/>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5"/>
      <w:r/>
      <w:bookmarkEnd w:id="26"/>
      <w:r/>
      <w:bookmarkEnd w:id="27"/>
      <w:r/>
      <w:bookmarkEnd w:id="2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29" w:name="_Toc28359020"/>
      <w:r/>
      <w:bookmarkStart w:id="30" w:name="_Toc28359097"/>
      <w:r/>
      <w:bookmarkStart w:id="31" w:name="_Toc35393638"/>
      <w:r/>
      <w:bookmarkStart w:id="32" w:name="_Toc35393807"/>
      <w:r>
        <w:rPr>
          <w:rFonts w:hint="eastAsia" w:ascii="宋体" w:hAnsi="宋体" w:eastAsia="宋体" w:cs="宋体"/>
          <w:bCs/>
          <w:szCs w:val="21"/>
        </w:rPr>
        <w:t xml:space="preserve">苏州市吴中区甪直镇人民政府（苏州市吴中区甪直镇综合行政执法和安全生产监督管理办公室）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联系人：顾强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联系电话：0512-66016242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地址：苏州市吴中区甪直镇联谊路268号（甪直镇综合办公楼）</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29"/>
      <w:r/>
      <w:bookmarkEnd w:id="30"/>
      <w:r/>
      <w:bookmarkEnd w:id="31"/>
      <w:r/>
      <w:bookmarkEnd w:id="32"/>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3" w:name="_Toc35393808"/>
      <w:r/>
      <w:bookmarkStart w:id="34" w:name="_Toc35393639"/>
      <w:r/>
      <w:bookmarkStart w:id="35" w:name="_Toc28359098"/>
      <w:r/>
      <w:bookmarkStart w:id="36" w:name="_Toc28359021"/>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3"/>
      <w:r/>
      <w:bookmarkEnd w:id="34"/>
      <w:r/>
      <w:bookmarkEnd w:id="35"/>
      <w:r/>
      <w:bookmarkEnd w:id="36"/>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2025年10月</w:t>
      </w:r>
      <w:r>
        <w:rPr>
          <w:rFonts w:hint="eastAsia" w:ascii="宋体" w:hAnsi="宋体" w:eastAsia="宋体" w:cs="宋体"/>
          <w:szCs w:val="21"/>
        </w:rPr>
        <w:t xml:space="preserve">31</w:t>
      </w:r>
      <w:r>
        <w:rPr>
          <w:rFonts w:hint="eastAsia" w:ascii="宋体" w:hAnsi="宋体" w:eastAsia="宋体" w:cs="宋体"/>
          <w:szCs w:val="21"/>
        </w:rPr>
        <w:t xml:space="preserve">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二、磋商须知</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A 说明和释义</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1.1本采购文件仅适用于中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咨询（苏州）有限责任公司组织的采购活动。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1.3本采购文件的解释权属于中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2.2供应商：响应磋商并且</w:t>
      </w:r>
      <w:r>
        <w:rPr>
          <w:rFonts w:hint="eastAsia" w:ascii="宋体" w:hAnsi="宋体" w:eastAsia="宋体" w:cs="宋体"/>
          <w:szCs w:val="21"/>
        </w:rPr>
        <w:t xml:space="preserve">符合磋商</w:t>
      </w:r>
      <w:r>
        <w:rPr>
          <w:rFonts w:hint="eastAsia" w:ascii="宋体" w:hAnsi="宋体" w:eastAsia="宋体" w:cs="宋体"/>
          <w:szCs w:val="21"/>
        </w:rPr>
        <w:t xml:space="preserve">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B 供应商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合格磋商</w:t>
      </w:r>
      <w:r>
        <w:rPr>
          <w:rFonts w:hint="eastAsia" w:ascii="宋体" w:hAnsi="宋体" w:eastAsia="宋体" w:cs="宋体"/>
          <w:szCs w:val="21"/>
        </w:rPr>
        <w:t xml:space="preserve">供应商的一般条件</w:t>
      </w:r>
      <w:r/>
    </w:p>
    <w:p>
      <w:pPr>
        <w:pStyle w:val="979"/>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979"/>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3.2具有良好的商业信誉和健全的财务会计制度证明。包括但不限于最近一期的财务报告，其他组织、自然人及成立未满一年的法人应提供银行出具的资信证明；</w:t>
      </w:r>
      <w:r/>
    </w:p>
    <w:p>
      <w:pPr>
        <w:pStyle w:val="979"/>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79"/>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979"/>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979"/>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979"/>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979"/>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979"/>
        <w:ind w:firstLine="480"/>
        <w:rPr>
          <w:rFonts w:hint="eastAsia" w:ascii="宋体" w:hAnsi="宋体" w:cs="宋体"/>
          <w:sz w:val="21"/>
          <w:szCs w:val="21"/>
        </w:rPr>
      </w:pPr>
      <w:r>
        <w:rPr>
          <w:rFonts w:hint="eastAsia" w:ascii="宋体" w:hAnsi="宋体" w:cs="宋体"/>
          <w:sz w:val="21"/>
          <w:szCs w:val="21"/>
        </w:rPr>
        <w:t xml:space="preserve">3.9</w:t>
      </w:r>
      <w:r>
        <w:rPr>
          <w:rFonts w:hint="eastAsia" w:ascii="宋体" w:hAnsi="宋体" w:cs="宋体"/>
          <w:sz w:val="21"/>
          <w:szCs w:val="21"/>
        </w:rPr>
        <w:t xml:space="preserve">合格磋商</w:t>
      </w:r>
      <w:r>
        <w:rPr>
          <w:rFonts w:hint="eastAsia" w:ascii="宋体" w:hAnsi="宋体" w:cs="宋体"/>
          <w:sz w:val="21"/>
          <w:szCs w:val="21"/>
        </w:rPr>
        <w:t xml:space="preserve">供应商的特殊条件：</w:t>
      </w:r>
      <w:r/>
    </w:p>
    <w:p>
      <w:pPr>
        <w:pStyle w:val="979"/>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1</w:t>
      </w:r>
      <w:r>
        <w:rPr>
          <w:rFonts w:ascii="宋体" w:hAnsi="宋体" w:cs="宋体"/>
          <w:sz w:val="21"/>
          <w:szCs w:val="21"/>
        </w:rPr>
        <w:t xml:space="preserve">未被“信用中国”网站或“中国政府采购网”网站列入失信被执行人、重大税收违法案件当事人名单、政府采购严重失信行为记录名单；</w:t>
      </w:r>
      <w:r/>
    </w:p>
    <w:p>
      <w:pPr>
        <w:pStyle w:val="979"/>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4.1指全权代表供应商参加磋商采购活动并</w:t>
      </w:r>
      <w:r>
        <w:rPr>
          <w:rFonts w:hint="eastAsia" w:ascii="宋体" w:hAnsi="宋体" w:eastAsia="宋体" w:cs="宋体"/>
          <w:szCs w:val="21"/>
        </w:rPr>
        <w:t xml:space="preserve">签署磋商</w:t>
      </w:r>
      <w:r>
        <w:rPr>
          <w:rFonts w:hint="eastAsia" w:ascii="宋体" w:hAnsi="宋体" w:eastAsia="宋体" w:cs="宋体"/>
          <w:szCs w:val="21"/>
        </w:rPr>
        <w:t xml:space="preserve">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bCs/>
          <w:szCs w:val="21"/>
        </w:rPr>
        <w:t xml:space="preserve">7.1在递交（上传）磋商响应文件截止时间前，采购单位无论出于自己的考虑，还是出</w:t>
      </w:r>
      <w:r>
        <w:rPr>
          <w:rFonts w:hint="eastAsia" w:ascii="宋体" w:hAnsi="宋体" w:eastAsia="宋体" w:cs="宋体"/>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7.3采购文件的澄清、修改、补充等内容均以网上公告形式明确的内容为准。当采购文件及采购文件的澄清、修改、补充等在同一内容的表述上不一致时，以苏州市政府采购</w:t>
      </w:r>
      <w:r>
        <w:rPr>
          <w:rFonts w:hint="eastAsia" w:ascii="宋体" w:hAnsi="宋体" w:eastAsia="宋体" w:cs="宋体"/>
          <w:szCs w:val="21"/>
        </w:rPr>
        <w:t xml:space="preserve">网最后</w:t>
      </w:r>
      <w:r>
        <w:rPr>
          <w:rFonts w:hint="eastAsia" w:ascii="宋体" w:hAnsi="宋体" w:eastAsia="宋体" w:cs="宋体"/>
          <w:szCs w:val="21"/>
        </w:rPr>
        <w:t xml:space="preserve">发布的文件为准。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8.采购文件提</w:t>
      </w:r>
      <w:r>
        <w:rPr>
          <w:rFonts w:hint="eastAsia" w:ascii="宋体" w:hAnsi="宋体" w:eastAsia="宋体" w:cs="宋体"/>
          <w:szCs w:val="21"/>
        </w:rPr>
        <w:t xml:space="preserve">疑</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eastAsia="宋体" w:cs="宋体"/>
          <w:bCs/>
          <w:szCs w:val="21"/>
        </w:rPr>
        <w:t xml:space="preserve">作出</w:t>
      </w:r>
      <w:r>
        <w:rPr>
          <w:rFonts w:hint="eastAsia" w:ascii="宋体" w:hAnsi="宋体" w:eastAsia="宋体" w:cs="宋体"/>
          <w:bCs/>
          <w:szCs w:val="21"/>
        </w:rPr>
        <w:t xml:space="preserve">答复。</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rPr>
        <w:t xml:space="preserve">投标供应商确认函</w:t>
      </w:r>
      <w:r>
        <w:rPr>
          <w:rFonts w:hint="eastAsia" w:ascii="宋体" w:hAnsi="宋体" w:eastAsia="宋体" w:cs="宋体"/>
          <w:bCs/>
          <w:szCs w:val="21"/>
        </w:rPr>
        <w:t xml:space="preserve">》）与质疑</w:t>
      </w:r>
      <w:r>
        <w:rPr>
          <w:rFonts w:hint="eastAsia" w:ascii="宋体" w:hAnsi="宋体" w:eastAsia="宋体" w:cs="宋体"/>
          <w:bCs/>
          <w:szCs w:val="21"/>
        </w:rPr>
        <w:t xml:space="preserve">函一起</w:t>
      </w:r>
      <w:r>
        <w:rPr>
          <w:rFonts w:hint="eastAsia" w:ascii="宋体" w:hAnsi="宋体" w:eastAsia="宋体" w:cs="宋体"/>
          <w:bCs/>
          <w:szCs w:val="21"/>
        </w:rPr>
        <w:t xml:space="preserve">递交，否则不予受理。</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8.4供应商提出质疑应当提交质疑函和必要的证明材料。质疑</w:t>
      </w:r>
      <w:r>
        <w:rPr>
          <w:rFonts w:hint="eastAsia" w:ascii="宋体" w:hAnsi="宋体" w:eastAsia="宋体" w:cs="宋体"/>
          <w:szCs w:val="21"/>
        </w:rPr>
        <w:t xml:space="preserve">函应当</w:t>
      </w:r>
      <w:r>
        <w:rPr>
          <w:rFonts w:hint="eastAsia" w:ascii="宋体" w:hAnsi="宋体" w:eastAsia="宋体" w:cs="宋体"/>
          <w:szCs w:val="21"/>
        </w:rPr>
        <w:t xml:space="preserve">包括下列内容：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8.4.7</w:t>
      </w:r>
      <w:r>
        <w:rPr>
          <w:rFonts w:hint="eastAsia" w:ascii="宋体" w:hAnsi="宋体" w:eastAsia="宋体" w:cs="宋体"/>
          <w:bCs/>
          <w:szCs w:val="21"/>
        </w:rPr>
        <w:t xml:space="preserve">供应商参加投标确认函</w:t>
      </w:r>
      <w:r>
        <w:rPr>
          <w:rFonts w:hint="eastAsia" w:ascii="宋体" w:hAnsi="宋体" w:eastAsia="宋体" w:cs="宋体"/>
          <w:szCs w:val="21"/>
        </w:rPr>
        <w:t xml:space="preserve">。</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质疑联系人：陈洁、黎双琪</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联系电话：0512-66</w:t>
      </w:r>
      <w:r>
        <w:rPr>
          <w:rFonts w:ascii="宋体" w:hAnsi="宋体" w:eastAsia="宋体" w:cs="宋体"/>
          <w:szCs w:val="21"/>
        </w:rPr>
        <w:t xml:space="preserve">586136</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通讯地址：苏州市吴中区城南街道南湖路</w:t>
      </w:r>
      <w:r>
        <w:rPr>
          <w:rFonts w:ascii="宋体" w:hAnsi="宋体" w:eastAsia="宋体" w:cs="宋体"/>
          <w:szCs w:val="21"/>
        </w:rPr>
        <w:t xml:space="preserve">71号天贸大厦东楼828、829室</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9.1磋商供应商应仔细阅读采购文件的所有内容，按采购文件的要求提供（上传）响应文件，并保证所提供的全部资料的真实性，以使其对采购文件</w:t>
      </w:r>
      <w:r>
        <w:rPr>
          <w:rFonts w:hint="eastAsia" w:ascii="宋体" w:hAnsi="宋体" w:eastAsia="宋体" w:cs="宋体"/>
          <w:szCs w:val="21"/>
        </w:rPr>
        <w:t xml:space="preserve">作出</w:t>
      </w:r>
      <w:r>
        <w:rPr>
          <w:rFonts w:hint="eastAsia" w:ascii="宋体" w:hAnsi="宋体" w:eastAsia="宋体" w:cs="宋体"/>
          <w:szCs w:val="21"/>
        </w:rPr>
        <w:t xml:space="preserve">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11. 响应文件组成（部分格式见第六章）</w:t>
      </w:r>
      <w:r/>
    </w:p>
    <w:p>
      <w:pPr>
        <w:pStyle w:val="108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11.1.3法定代表人授权委托书（如有授权）；</w:t>
      </w:r>
      <w:r/>
    </w:p>
    <w:p>
      <w:pPr>
        <w:pStyle w:val="108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11.2.3磋商响应单位《营业执照》副本复</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印件；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11.2.4磋商响应单位法定代表人身份证复印件；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11.2.5磋商响应单位代理人身份证复印件（如有授权）；</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11.2.6合格供应商的基本条件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11.2.6.1具有独立承担民事责任的能力证明。包括法人或者其他组织的营业执照等证明文件，自然人的身份证明；</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11.2.6.2具有良好的商业信誉和健全的财务会计制度证明。包括但不限于最近一期的财务报告，其他组织、自然人及成立未满一年的法人应提供银行出具的资信证明。</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w:t>
      </w:r>
      <w:r>
        <w:rPr>
          <w:rFonts w:hint="eastAsia" w:ascii="宋体" w:hAnsi="宋体" w:eastAsia="宋体" w:cs="宋体"/>
          <w:sz w:val="21"/>
          <w:szCs w:val="21"/>
        </w:rPr>
        <w:t xml:space="preserve">商条件</w:t>
      </w:r>
      <w:r>
        <w:rPr>
          <w:rFonts w:hint="eastAsia" w:ascii="宋体" w:hAnsi="宋体" w:eastAsia="宋体" w:cs="宋体"/>
          <w:sz w:val="21"/>
          <w:szCs w:val="21"/>
        </w:rPr>
        <w:t xml:space="preserve">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11.3响应服务数量、服务要求、服务期说明；</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11.4实施方案；</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11.5针对本项目专职人员配备情况；</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7类似项目业绩证明；（如有）</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8与本次磋商评审有关的其他资料；</w:t>
      </w:r>
      <w:r/>
    </w:p>
    <w:p>
      <w:pPr>
        <w:pStyle w:val="108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9国家法律、法规所规定的其他资料。</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磋商供应商必须上传上述“11.1-11.6”款规定的资料。否则，磋商响应文件将被认定为未实质性响应。</w:t>
      </w:r>
      <w:r/>
    </w:p>
    <w:p>
      <w:pPr>
        <w:pStyle w:val="1089"/>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（1）以上11.2.6.1-11.2.6.6为资格审查要求提供的材料，是作为对供应商资格审查、质疑身份认定的依据，响应供应商必须提供并加盖电子公章。否则，磋商响应文件将被认定为不符合资格审查要求。</w:t>
      </w:r>
      <w:r/>
    </w:p>
    <w:p>
      <w:pPr>
        <w:pStyle w:val="1089"/>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、1</w:t>
      </w:r>
      <w:r>
        <w:rPr>
          <w:rFonts w:ascii="宋体" w:hAnsi="宋体" w:eastAsia="宋体" w:cs="宋体"/>
          <w:b/>
          <w:bCs/>
          <w:sz w:val="21"/>
          <w:szCs w:val="21"/>
        </w:rPr>
        <w:t xml:space="preserve">1.7</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pStyle w:val="1089"/>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p>
    <w:p>
      <w:pPr>
        <w:pStyle w:val="1089"/>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89"/>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w:t>
      </w:r>
      <w:r>
        <w:rPr>
          <w:rFonts w:hint="eastAsia" w:ascii="宋体" w:hAnsi="宋体" w:eastAsia="宋体" w:cs="宋体"/>
          <w:b/>
          <w:sz w:val="21"/>
          <w:szCs w:val="21"/>
        </w:rPr>
        <w:t xml:space="preserve">否则导致</w:t>
      </w:r>
      <w:r>
        <w:rPr>
          <w:rFonts w:hint="eastAsia" w:ascii="宋体" w:hAnsi="宋体" w:eastAsia="宋体" w:cs="宋体"/>
          <w:b/>
          <w:sz w:val="21"/>
          <w:szCs w:val="21"/>
        </w:rPr>
        <w:t xml:space="preserve">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12.1除非合同中另有规定，供应商对全部服务的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其他均不再另行计费</w:t>
      </w:r>
      <w:r>
        <w:rPr>
          <w:rFonts w:ascii="宋体" w:hAnsi="宋体" w:eastAsia="宋体" w:cs="宋体"/>
          <w:szCs w:val="21"/>
        </w:rPr>
        <w:t xml:space="preserve">。</w:t>
      </w:r>
      <w:r>
        <w:rPr>
          <w:rFonts w:hint="eastAsia" w:ascii="宋体" w:hAnsi="宋体" w:eastAsia="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本项目采用线上二次报价：</w:t>
      </w:r>
      <w:r/>
    </w:p>
    <w:p>
      <w:pPr>
        <w:ind w:firstLine="408"/>
        <w:spacing w:line="360" w:lineRule="auto"/>
        <w:rPr>
          <w:rFonts w:hint="eastAsia" w:ascii="宋体" w:hAnsi="宋体" w:eastAsia="宋体" w:cs="宋体"/>
          <w:szCs w:val="21"/>
        </w:rPr>
        <w:outlineLvl w:val="0"/>
      </w:pPr>
      <w:r>
        <w:rPr>
          <w:rFonts w:hint="eastAsia" w:ascii="宋体" w:hAnsi="宋体" w:eastAsia="宋体" w:cs="宋体"/>
          <w:bCs/>
          <w:szCs w:val="21"/>
        </w:rPr>
        <w:t xml:space="preserve">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rPr>
        <w:t xml:space="preserve">供应商未在磋商小组规定的时间内在“苏</w:t>
      </w:r>
      <w:r>
        <w:rPr>
          <w:rFonts w:hint="eastAsia" w:ascii="宋体" w:hAnsi="宋体" w:eastAsia="宋体" w:cs="宋体"/>
          <w:b/>
          <w:szCs w:val="21"/>
        </w:rPr>
        <w:t xml:space="preserve">采云</w:t>
      </w:r>
      <w:r>
        <w:rPr>
          <w:rFonts w:hint="eastAsia" w:ascii="宋体" w:hAnsi="宋体" w:eastAsia="宋体" w:cs="宋体"/>
          <w:b/>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进入项目评审流程后，建议各供应</w:t>
      </w:r>
      <w:r>
        <w:rPr>
          <w:rFonts w:hint="eastAsia" w:ascii="宋体" w:hAnsi="宋体" w:eastAsia="宋体" w:cs="宋体"/>
          <w:b/>
          <w:bCs/>
          <w:szCs w:val="21"/>
        </w:rPr>
        <w:t xml:space="preserve">商法定</w:t>
      </w:r>
      <w:r>
        <w:rPr>
          <w:rFonts w:hint="eastAsia" w:ascii="宋体" w:hAnsi="宋体" w:eastAsia="宋体" w:cs="宋体"/>
          <w:b/>
          <w:bCs/>
          <w:szCs w:val="21"/>
        </w:rPr>
        <w:t xml:space="preserve">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12.2磋商供应商应对采购文件内所要采购的全部内容进行报价，只</w:t>
      </w:r>
      <w:r>
        <w:rPr>
          <w:rFonts w:hint="eastAsia" w:ascii="宋体" w:hAnsi="宋体" w:eastAsia="宋体" w:cs="宋体"/>
          <w:szCs w:val="21"/>
        </w:rPr>
        <w:t xml:space="preserve">投其中</w:t>
      </w:r>
      <w:r>
        <w:rPr>
          <w:rFonts w:hint="eastAsia" w:ascii="宋体" w:hAnsi="宋体" w:eastAsia="宋体" w:cs="宋体"/>
          <w:szCs w:val="21"/>
        </w:rPr>
        <w:t xml:space="preserve">部分内容</w:t>
      </w:r>
      <w:r>
        <w:rPr>
          <w:rFonts w:ascii="宋体" w:hAnsi="宋体" w:eastAsia="宋体" w:cs="宋体"/>
          <w:szCs w:val="21"/>
        </w:rPr>
        <w:t xml:space="preserve">的，为无效报价</w:t>
      </w:r>
      <w:r>
        <w:rPr>
          <w:rFonts w:hint="eastAsia" w:ascii="宋体" w:hAnsi="宋体" w:eastAsia="宋体" w:cs="宋体"/>
          <w:szCs w:val="21"/>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12.5评审过程中出现下列情形之一的，评审委员会应当启动异常低价投标（响应）审查程序（具体按《苏财购〔2025〕62号》文执行）：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（1）投标（响应）报价低于采购项目预算50%的，即投标（响应）报价&lt;采购项目预算×50%；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（2）投标（响应）报价低于采购项目最高限价45%的，即投标（ 响应） 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（3）评审委员会认定的供应商报价过低、有可能影响产品质量或者不能诚信履约的其他情形。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14.1自磋商响应文件递交（上传）截止之日起</w:t>
      </w:r>
      <w:r>
        <w:rPr>
          <w:rFonts w:ascii="宋体" w:hAnsi="宋体" w:eastAsia="宋体" w:cs="宋体"/>
          <w:szCs w:val="21"/>
          <w:u w:val="single"/>
        </w:rPr>
        <w:t xml:space="preserve">90</w:t>
      </w:r>
      <w:r>
        <w:rPr>
          <w:rFonts w:hint="eastAsia" w:ascii="宋体" w:hAnsi="宋体" w:eastAsia="宋体" w:cs="宋体"/>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15.2采购单位</w:t>
      </w:r>
      <w:r>
        <w:rPr>
          <w:rFonts w:hint="eastAsia" w:ascii="宋体" w:hAnsi="宋体" w:eastAsia="宋体" w:cs="宋体"/>
          <w:szCs w:val="21"/>
        </w:rPr>
        <w:t xml:space="preserve">推迟磋商</w:t>
      </w:r>
      <w:r>
        <w:rPr>
          <w:rFonts w:hint="eastAsia" w:ascii="宋体" w:hAnsi="宋体" w:eastAsia="宋体" w:cs="宋体"/>
          <w:szCs w:val="21"/>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rPr>
      </w:pPr>
      <w:r>
        <w:rPr>
          <w:rFonts w:hint="eastAsia" w:ascii="宋体" w:hAnsi="宋体" w:eastAsia="宋体" w:cs="宋体"/>
          <w:b/>
          <w:szCs w:val="21"/>
        </w:rPr>
        <w:t xml:space="preserve">16. 磋商程序</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16.2供应商通过“苏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”系统在线参与磋商活动。供应商应当按照《苏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系统供应商操作手册》规定在 “苏</w:t>
      </w:r>
      <w:r>
        <w:rPr>
          <w:rFonts w:hint="eastAsia" w:ascii="宋体" w:hAnsi="宋体" w:eastAsia="宋体" w:cs="宋体"/>
          <w:szCs w:val="21"/>
        </w:rPr>
        <w:t xml:space="preserve">采云</w:t>
      </w:r>
      <w:r>
        <w:rPr>
          <w:rFonts w:hint="eastAsia" w:ascii="宋体" w:hAnsi="宋体" w:eastAsia="宋体" w:cs="宋体"/>
          <w:szCs w:val="21"/>
        </w:rPr>
        <w:t xml:space="preserve">”系统规定的时间内对响应文件进行解密。在磋商响应文件网上递交截止时间</w:t>
      </w:r>
      <w:r>
        <w:rPr>
          <w:rFonts w:hint="eastAsia" w:ascii="宋体" w:hAnsi="宋体" w:eastAsia="宋体" w:cs="宋体"/>
          <w:szCs w:val="21"/>
        </w:rPr>
        <w:t xml:space="preserve">止</w:t>
      </w:r>
      <w:r>
        <w:rPr>
          <w:rFonts w:hint="eastAsia" w:ascii="宋体" w:hAnsi="宋体" w:eastAsia="宋体" w:cs="宋体"/>
          <w:szCs w:val="21"/>
        </w:rPr>
        <w:t xml:space="preserve">成功解密的磋商供应商少于三家，则本次采购失败。</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rPr>
      </w:pPr>
      <w:r>
        <w:rPr>
          <w:rFonts w:hint="eastAsia" w:ascii="宋体" w:hAnsi="宋体" w:eastAsia="宋体" w:cs="宋体"/>
          <w:b/>
          <w:szCs w:val="21"/>
        </w:rPr>
        <w:t xml:space="preserve">本项目供应商的澄清、说明或者补正采用线上澄清：磋商小组将通过“苏</w:t>
      </w:r>
      <w:r>
        <w:rPr>
          <w:rFonts w:hint="eastAsia" w:ascii="宋体" w:hAnsi="宋体" w:eastAsia="宋体" w:cs="宋体"/>
          <w:b/>
          <w:szCs w:val="21"/>
        </w:rPr>
        <w:t xml:space="preserve">采云</w:t>
      </w:r>
      <w:r>
        <w:rPr>
          <w:rFonts w:hint="eastAsia" w:ascii="宋体" w:hAnsi="宋体" w:eastAsia="宋体" w:cs="宋体"/>
          <w:b/>
          <w:szCs w:val="21"/>
        </w:rPr>
        <w:t xml:space="preserve">”系统向供应商发布“澄清要求函”，接到“澄清要求函”的供应商应当按要求在规定时间内通过“苏</w:t>
      </w:r>
      <w:r>
        <w:rPr>
          <w:rFonts w:hint="eastAsia" w:ascii="宋体" w:hAnsi="宋体" w:eastAsia="宋体" w:cs="宋体"/>
          <w:b/>
          <w:szCs w:val="21"/>
        </w:rPr>
        <w:t xml:space="preserve">采云</w:t>
      </w:r>
      <w:r>
        <w:rPr>
          <w:rFonts w:hint="eastAsia" w:ascii="宋体" w:hAnsi="宋体" w:eastAsia="宋体" w:cs="宋体"/>
          <w:b/>
          <w:szCs w:val="21"/>
        </w:rPr>
        <w:t xml:space="preserve">”系统提交“澄清响应函”并加盖CA电子公章，澄清、说明和补充的内容作为响应文件的补充部分。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rPr>
        <w:t xml:space="preserve">磋商小组通过“苏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”系统向供应商发布“磋商函”，供应商应当按照要求在“苏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”系统提交“磋商响应函”并加盖CA电子公章。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Cs w:val="21"/>
        </w:rPr>
        <w:t xml:space="preserve">采云</w:t>
      </w:r>
      <w:r>
        <w:rPr>
          <w:rFonts w:hint="eastAsia" w:ascii="宋体" w:hAnsi="宋体" w:eastAsia="宋体" w:cs="宋体"/>
          <w:szCs w:val="21"/>
        </w:rPr>
        <w:t xml:space="preserve">”系统中同时通知所有参加磋商的供应商，供应商应当按照磋商文件的变动情况和磋商小组的要求在“苏</w:t>
      </w:r>
      <w:r>
        <w:rPr>
          <w:rFonts w:hint="eastAsia" w:ascii="宋体" w:hAnsi="宋体" w:eastAsia="宋体" w:cs="宋体"/>
          <w:szCs w:val="21"/>
        </w:rPr>
        <w:t xml:space="preserve">采云</w:t>
      </w:r>
      <w:r>
        <w:rPr>
          <w:rFonts w:hint="eastAsia" w:ascii="宋体" w:hAnsi="宋体" w:eastAsia="宋体" w:cs="宋体"/>
          <w:szCs w:val="21"/>
        </w:rPr>
        <w:t xml:space="preserve">”系统中重新提交响应文件，并加盖CA电子公章。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16.9磋商结束后，</w:t>
      </w:r>
      <w:r>
        <w:rPr>
          <w:rFonts w:hint="eastAsia" w:ascii="宋体" w:hAnsi="宋体" w:eastAsia="宋体" w:cs="宋体"/>
          <w:b/>
          <w:bCs/>
          <w:szCs w:val="21"/>
        </w:rPr>
        <w:t xml:space="preserve">磋商小组将在“苏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17.项目的终止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17.1出现下列情形之一的，将终止竞争性磋商采购活动：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17.1.1因情况变化，不再符合规定的竞争性磋商采购方式适用情形的；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17.1.2出现影响采购公正的违法、违规行为的；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eastAsia="宋体" w:cs="宋体"/>
          <w:szCs w:val="21"/>
        </w:rPr>
        <w:t xml:space="preserve">应有磋商供应商法定</w:t>
      </w:r>
      <w:r>
        <w:rPr>
          <w:rFonts w:hint="eastAsia" w:ascii="宋体" w:hAnsi="宋体" w:eastAsia="宋体" w:cs="宋体"/>
          <w:szCs w:val="21"/>
        </w:rPr>
        <w:t xml:space="preserve">代表人或参加磋商的代理人签署。采购单位将在收到经磋商供应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代表人或参加响应供应商的代理人签署的书面质疑后七个工作日内，对质疑内容</w:t>
      </w:r>
      <w:r>
        <w:rPr>
          <w:rFonts w:hint="eastAsia" w:ascii="宋体" w:hAnsi="宋体" w:eastAsia="宋体" w:cs="宋体"/>
          <w:szCs w:val="21"/>
        </w:rPr>
        <w:t xml:space="preserve">作出</w:t>
      </w:r>
      <w:r>
        <w:rPr>
          <w:rFonts w:hint="eastAsia" w:ascii="宋体" w:hAnsi="宋体" w:eastAsia="宋体" w:cs="宋体"/>
          <w:szCs w:val="21"/>
        </w:rPr>
        <w:t xml:space="preserve">答复。如磋商供应商未在成交结果公告期满后七个工作日内向磋商采购单位提出质疑或质疑未经磋商供应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19.3</w:t>
      </w:r>
      <w:r>
        <w:rPr>
          <w:rFonts w:hint="eastAsia" w:ascii="宋体" w:hAnsi="宋体" w:eastAsia="宋体" w:cs="宋体"/>
          <w:bCs/>
          <w:szCs w:val="21"/>
        </w:rPr>
        <w:t xml:space="preserve">由采购人授权评审委员会在候选供应商名单中直</w:t>
      </w:r>
      <w:r>
        <w:rPr>
          <w:rFonts w:hint="eastAsia" w:ascii="宋体" w:hAnsi="宋体" w:eastAsia="宋体" w:cs="宋体"/>
          <w:bCs/>
          <w:szCs w:val="21"/>
        </w:rPr>
        <w:t xml:space="preserve">接确定</w:t>
      </w:r>
      <w:r>
        <w:rPr>
          <w:rFonts w:hint="eastAsia" w:ascii="宋体" w:hAnsi="宋体" w:eastAsia="宋体" w:cs="宋体"/>
          <w:bCs/>
          <w:szCs w:val="21"/>
        </w:rPr>
        <w:t xml:space="preserve">成交供应商。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21.1确定出成交单位后磋商响应文件有效期截止前，采购单位将以书面形式通知成交的磋商</w:t>
      </w:r>
      <w:r>
        <w:rPr>
          <w:rFonts w:hint="eastAsia" w:ascii="宋体" w:hAnsi="宋体" w:eastAsia="宋体" w:cs="宋体"/>
          <w:szCs w:val="21"/>
        </w:rPr>
        <w:t xml:space="preserve">供应商其响应</w:t>
      </w:r>
      <w:r>
        <w:rPr>
          <w:rFonts w:hint="eastAsia" w:ascii="宋体" w:hAnsi="宋体" w:eastAsia="宋体" w:cs="宋体"/>
          <w:szCs w:val="21"/>
        </w:rPr>
        <w:t xml:space="preserve">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21.4在发放《中标（成交）通知书》的同时，向参与项目评审的未中标（成交）供应商发放《未中标（成交）通知书》，以电子邮件、纸质寄送等与投标（响应）供应商约定的方式书面</w:t>
      </w:r>
      <w:r>
        <w:rPr>
          <w:rFonts w:hint="eastAsia" w:ascii="宋体" w:hAnsi="宋体" w:eastAsia="宋体" w:cs="宋体"/>
          <w:szCs w:val="21"/>
        </w:rPr>
        <w:t xml:space="preserve">告知该未中标</w:t>
      </w:r>
      <w:r>
        <w:rPr>
          <w:rFonts w:hint="eastAsia" w:ascii="宋体" w:hAnsi="宋体" w:eastAsia="宋体" w:cs="宋体"/>
          <w:szCs w:val="21"/>
        </w:rPr>
        <w:t xml:space="preserve">（成交）供应商的评审得分与排名，未中标（成交）供应商未按约定的时间和方式获取告知信息的，视为自动放弃并自行承担相应后果。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w:t>
      </w:r>
      <w:r>
        <w:rPr>
          <w:rFonts w:hint="eastAsia" w:ascii="宋体" w:hAnsi="宋体" w:eastAsia="宋体" w:cs="宋体"/>
          <w:szCs w:val="21"/>
        </w:rPr>
        <w:t xml:space="preserve">各</w:t>
      </w:r>
      <w:r>
        <w:rPr>
          <w:rFonts w:hint="eastAsia" w:ascii="宋体" w:hAnsi="宋体" w:eastAsia="宋体" w:cs="宋体"/>
          <w:szCs w:val="21"/>
        </w:rPr>
        <w:t xml:space="preserve">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21.6成交单位应按成交通知书中规定的时间和地点，由法定代表人或代理人与甲方代表签订合同。否则</w:t>
      </w:r>
      <w:r>
        <w:rPr>
          <w:rFonts w:hint="eastAsia" w:ascii="宋体" w:hAnsi="宋体" w:eastAsia="宋体" w:cs="宋体"/>
          <w:szCs w:val="21"/>
        </w:rPr>
        <w:t xml:space="preserve">按放弃</w:t>
      </w:r>
      <w:r>
        <w:rPr>
          <w:rFonts w:hint="eastAsia" w:ascii="宋体" w:hAnsi="宋体" w:eastAsia="宋体" w:cs="宋体"/>
          <w:szCs w:val="21"/>
        </w:rPr>
        <w:t xml:space="preserve">处理。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23.</w:t>
      </w:r>
      <w:r>
        <w:rPr>
          <w:rFonts w:hint="eastAsia" w:ascii="宋体" w:hAnsi="宋体" w:eastAsia="宋体" w:cs="宋体"/>
          <w:bCs/>
          <w:szCs w:val="21"/>
        </w:rPr>
        <w:t xml:space="preserve"> </w:t>
      </w:r>
      <w:r>
        <w:rPr>
          <w:rFonts w:hint="eastAsia" w:ascii="宋体" w:hAnsi="宋体" w:eastAsia="宋体" w:cs="宋体"/>
          <w:b/>
          <w:bCs/>
          <w:szCs w:val="21"/>
        </w:rPr>
        <w:t xml:space="preserve">履约保证金</w:t>
      </w:r>
      <w:r>
        <w:rPr>
          <w:rFonts w:hint="eastAsia" w:ascii="宋体" w:hAnsi="宋体" w:eastAsia="宋体" w:cs="宋体"/>
          <w:bCs/>
          <w:szCs w:val="21"/>
        </w:rPr>
        <w:t xml:space="preserve">：</w:t>
      </w:r>
      <w:r>
        <w:rPr>
          <w:rFonts w:hint="eastAsia" w:ascii="宋体" w:hAnsi="宋体" w:eastAsia="宋体" w:cs="宋体"/>
          <w:b/>
          <w:bCs/>
          <w:szCs w:val="21"/>
        </w:rPr>
        <w:t xml:space="preserve">无</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按《中华人民共和国政府采购法》及其他有关的法律法规的规定执行。</w:t>
      </w:r>
      <w:r/>
    </w:p>
    <w:p>
      <w:pPr>
        <w:rPr>
          <w:rFonts w:hint="eastAsia" w:ascii="宋体" w:hAnsi="宋体" w:eastAsia="宋体" w:cs="宋体"/>
          <w:szCs w:val="21"/>
        </w:rPr>
      </w:pPr>
      <w:r>
        <w:rPr>
          <w:rFonts w:hint="eastAsia" w:ascii="宋体" w:hAnsi="宋体" w:eastAsia="宋体" w:cs="宋体"/>
          <w:szCs w:val="21"/>
        </w:rPr>
      </w:r>
      <w:r/>
    </w:p>
    <w:p>
      <w:pPr>
        <w:jc w:val="left"/>
        <w:widowControl/>
        <w:rPr>
          <w:rStyle w:val="1091"/>
          <w:rFonts w:hint="eastAsia" w:ascii="宋体" w:hAnsi="宋体" w:cs="宋体"/>
          <w:szCs w:val="21"/>
        </w:rPr>
      </w:pPr>
      <w:r>
        <w:rPr>
          <w:rFonts w:hint="eastAsia" w:ascii="宋体" w:hAnsi="宋体" w:cs="宋体"/>
          <w:szCs w:val="21"/>
        </w:rPr>
      </w:r>
      <w:r/>
    </w:p>
    <w:p>
      <w:pPr>
        <w:jc w:val="left"/>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苏州市吴中区甪直镇人民政府（苏州市吴中区甪直镇综合行政执法和安全生产监督管理办公室）</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咨询（苏州）有限责任公司对其所需采购的2025年甪直镇区市容市貌提升配套服务项目在国内组织竞争性磋商采购。</w:t>
      </w:r>
      <w:r/>
    </w:p>
    <w:p>
      <w:pPr>
        <w:ind w:firstLine="422"/>
        <w:jc w:val="left"/>
        <w:spacing w:line="360" w:lineRule="auto"/>
        <w:widowControl/>
        <w:rPr>
          <w:rFonts w:hint="eastAsia" w:ascii="宋体" w:hAnsi="宋体" w:eastAsia="宋体" w:cs="Times New Roman"/>
          <w:szCs w:val="21"/>
        </w:rPr>
      </w:pPr>
      <w:r/>
      <w:bookmarkStart w:id="37"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JSZC-320506-SZZT-C2025-0012</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2025年甪直镇区市容市貌提升配套服务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竞争性磋商    </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四、采购预算价（最高限价）：</w:t>
      </w:r>
      <w:r>
        <w:rPr>
          <w:rFonts w:hint="eastAsia" w:ascii="宋体" w:hAnsi="宋体" w:eastAsia="宋体" w:cs="Times New Roman"/>
          <w:szCs w:val="21"/>
        </w:rPr>
        <w:t xml:space="preserve">人民币大写：贰佰壹拾贰万元整（小写</w:t>
      </w:r>
      <w:r>
        <w:rPr>
          <w:rFonts w:ascii="宋体" w:hAnsi="宋体" w:eastAsia="宋体" w:cs="Times New Roman"/>
          <w:szCs w:val="21"/>
        </w:rPr>
        <w:t xml:space="preserve">2120000.00元）</w:t>
      </w:r>
      <w:r>
        <w:rPr>
          <w:rFonts w:hint="eastAsia" w:ascii="宋体" w:hAnsi="宋体" w:eastAsia="宋体" w:cs="Times New Roman"/>
          <w:b/>
          <w:bCs/>
          <w:szCs w:val="21"/>
        </w:rPr>
        <w:t xml:space="preserve">（其中：保安员单价最高限价为80000元/人/年，突发应急处置保安员单价最高限价为3</w:t>
      </w:r>
      <w:r>
        <w:rPr>
          <w:rFonts w:hint="eastAsia" w:ascii="宋体" w:hAnsi="宋体" w:eastAsia="宋体" w:cs="Times New Roman"/>
          <w:b/>
          <w:bCs/>
          <w:szCs w:val="21"/>
        </w:rPr>
        <w:t xml:space="preserve">2</w:t>
      </w:r>
      <w:r>
        <w:rPr>
          <w:rFonts w:hint="eastAsia" w:ascii="宋体" w:hAnsi="宋体" w:eastAsia="宋体" w:cs="Times New Roman"/>
          <w:b/>
          <w:bCs/>
          <w:szCs w:val="21"/>
        </w:rPr>
        <w:t xml:space="preserve">0元/班次，拖车服务费用单价最高限价为300元/次；响应单位任何一项投标报价（单项报价及总价）超出采购人设定的预算价及最高限价的，其投标</w:t>
      </w:r>
      <w:r>
        <w:rPr>
          <w:rFonts w:hint="eastAsia" w:ascii="宋体" w:hAnsi="宋体" w:eastAsia="宋体" w:cs="Times New Roman"/>
          <w:b/>
          <w:bCs/>
          <w:szCs w:val="21"/>
        </w:rPr>
        <w:t xml:space="preserve">按废标处理</w:t>
      </w:r>
      <w:r>
        <w:rPr>
          <w:rFonts w:hint="eastAsia" w:ascii="宋体" w:hAnsi="宋体" w:eastAsia="宋体" w:cs="Times New Roman"/>
          <w:b/>
          <w:bCs/>
          <w:szCs w:val="21"/>
        </w:rPr>
        <w:t xml:space="preserve">。）</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（一）项目概况</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t xml:space="preserve">根据需要对重点部位安排人员进行市场化运作及各路段的协助巡查工作</w:t>
      </w:r>
      <w:r>
        <w:rPr>
          <w:rFonts w:hint="eastAsia" w:ascii="宋体" w:hAnsi="宋体" w:eastAsia="宋体" w:cs="Times New Roman"/>
          <w:szCs w:val="21"/>
        </w:rPr>
        <w:t xml:space="preserve">。</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rPr>
        <w:t xml:space="preserve">机动整治：主要针对拟市场化协助配套运作各路段小广告清理、非机动车道板停放等工作。有针对性按照实际需要随时进行调整</w:t>
      </w:r>
      <w:r>
        <w:rPr>
          <w:rFonts w:hint="eastAsia" w:ascii="宋体" w:hAnsi="宋体" w:eastAsia="宋体" w:cs="Times New Roman"/>
          <w:szCs w:val="21"/>
        </w:rPr>
        <w:t xml:space="preserve">。</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突发应急处置：发生各类重大事件或临时任务时，增派应急处突保安员</w:t>
      </w:r>
      <w:r>
        <w:rPr>
          <w:rFonts w:hint="eastAsia" w:ascii="宋体" w:hAnsi="宋体" w:eastAsia="宋体" w:cs="Times New Roman"/>
          <w:szCs w:val="21"/>
        </w:rPr>
        <w:t xml:space="preserve">。</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（二）服务范围</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古镇区域：吴淞路（含）以东及西侧路口可视范围、</w:t>
      </w:r>
      <w:r>
        <w:rPr>
          <w:rFonts w:hint="eastAsia" w:ascii="宋体" w:hAnsi="宋体" w:eastAsia="宋体" w:cs="Times New Roman"/>
          <w:szCs w:val="21"/>
        </w:rPr>
        <w:t xml:space="preserve">通庄路</w:t>
      </w:r>
      <w:r>
        <w:rPr>
          <w:rFonts w:hint="eastAsia" w:ascii="宋体" w:hAnsi="宋体" w:eastAsia="宋体" w:cs="Times New Roman"/>
          <w:szCs w:val="21"/>
        </w:rPr>
        <w:t xml:space="preserve">（含）以北，甪直大道（含）以南、育才路（含）以西，内含</w:t>
      </w:r>
      <w:r>
        <w:rPr>
          <w:rFonts w:hint="eastAsia" w:ascii="宋体" w:hAnsi="宋体" w:eastAsia="宋体" w:cs="Times New Roman"/>
          <w:szCs w:val="21"/>
        </w:rPr>
        <w:t xml:space="preserve">甫</w:t>
      </w:r>
      <w:r>
        <w:rPr>
          <w:rFonts w:hint="eastAsia" w:ascii="宋体" w:hAnsi="宋体" w:eastAsia="宋体" w:cs="Times New Roman"/>
          <w:szCs w:val="21"/>
        </w:rPr>
        <w:t xml:space="preserve">澄中路、北路、晓市路、迎宾路等区域内包含的其他各路段纳入管理范围。</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（三）服务期限：壹年（具体时间根据采购方要求）。</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（四）服务地点：苏州市吴中区甪直镇。</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（五）人员安排</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1、人员配置</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t xml:space="preserve">长效保障</w:t>
      </w:r>
      <w:r>
        <w:rPr>
          <w:rFonts w:hint="eastAsia" w:ascii="宋体" w:hAnsi="宋体" w:eastAsia="宋体" w:cs="Times New Roman"/>
          <w:szCs w:val="21"/>
        </w:rPr>
        <w:t xml:space="preserve">部分</w:t>
      </w:r>
      <w:r/>
    </w:p>
    <w:p>
      <w:pPr>
        <w:ind w:firstLine="48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长效保障共</w:t>
      </w:r>
      <w:r>
        <w:rPr>
          <w:rFonts w:hint="eastAsia" w:ascii="宋体" w:hAnsi="宋体" w:eastAsia="宋体" w:cs="Times New Roman"/>
          <w:szCs w:val="21"/>
        </w:rPr>
        <w:t xml:space="preserve">配置19名保安员，含项目经理1名、保安队长2名。具体人员配置表如下：</w:t>
      </w:r>
      <w:r/>
    </w:p>
    <w:tbl>
      <w:tblPr>
        <w:tblW w:w="8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right w:w="51" w:type="dxa"/>
        </w:tblCellMar>
        <w:tblLook w:val="04A0" w:firstRow="1" w:lastRow="0" w:firstColumn="1" w:lastColumn="0" w:noHBand="0" w:noVBand="1"/>
      </w:tblPr>
      <w:tblGrid>
        <w:gridCol w:w="637"/>
        <w:gridCol w:w="1283"/>
        <w:gridCol w:w="1950"/>
        <w:gridCol w:w="2967"/>
        <w:gridCol w:w="1665"/>
      </w:tblGrid>
      <w:tr>
        <w:trPr>
          <w:jc w:val="center"/>
          <w:trHeight w:val="23"/>
        </w:trPr>
        <w:tc>
          <w:tcPr>
            <w:tcW w:w="63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序号</w:t>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路段</w:t>
            </w:r>
            <w:r/>
          </w:p>
        </w:tc>
        <w:tc>
          <w:tcPr>
            <w:tcW w:w="1950"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保安员数量</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班次安排</w:t>
            </w:r>
            <w:r/>
          </w:p>
        </w:tc>
        <w:tc>
          <w:tcPr>
            <w:tcW w:w="1665"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甫澄路</w:t>
            </w:r>
            <w:r/>
          </w:p>
        </w:tc>
        <w:tc>
          <w:tcPr>
            <w:tcW w:w="1950"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长效时段2人</w:t>
            </w:r>
            <w:r/>
          </w:p>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重点时段1人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p>
            <w:pPr>
              <w:pStyle w:val="737"/>
              <w:jc w:val="center"/>
              <w:rPr>
                <w:rFonts w:hint="eastAsia" w:ascii="宋体" w:hAnsi="宋体" w:cs="宋体"/>
                <w:sz w:val="21"/>
                <w:szCs w:val="21"/>
              </w:rPr>
            </w:pPr>
            <w:r>
              <w:rPr>
                <w:rFonts w:hint="eastAsia" w:ascii="宋体" w:hAnsi="宋体" w:cs="宋体"/>
                <w:sz w:val="21"/>
                <w:szCs w:val="21"/>
              </w:rPr>
              <w:t xml:space="preserve">重点时段</w:t>
            </w:r>
            <w:r>
              <w:rPr>
                <w:rFonts w:hint="eastAsia" w:ascii="宋体" w:hAnsi="宋体" w:cs="宋体"/>
                <w:sz w:val="21"/>
                <w:szCs w:val="21"/>
                <w:lang w:val="en-US"/>
              </w:rPr>
              <w:t xml:space="preserve">17:00-21:00</w:t>
            </w:r>
            <w:r/>
          </w:p>
        </w:tc>
        <w:tc>
          <w:tcPr>
            <w:tcW w:w="1665" w:type="dxa"/>
            <w:vAlign w:val="center"/>
            <w:vMerge w:val="restart"/>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须安排1名项目经理，负责项目日常运营以及与甲方的沟通协调工作；2名保安队长，负责长效时段及重点时段保安队的管理。</w:t>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柯福路</w:t>
            </w:r>
            <w:r/>
          </w:p>
        </w:tc>
        <w:tc>
          <w:tcPr>
            <w:tcW w:w="1950" w:type="dxa"/>
            <w:vAlign w:val="center"/>
            <w:textDirection w:val="lrTb"/>
            <w:noWrap w:val="false"/>
          </w:tcPr>
          <w:p>
            <w:pPr>
              <w:jc w:val="center"/>
              <w:spacing w:line="360" w:lineRule="auto"/>
              <w:tabs>
                <w:tab w:val="left" w:pos="851" w:leader="none"/>
              </w:tabs>
              <w:rPr>
                <w:rFonts w:hint="eastAsia" w:ascii="宋体" w:hAnsi="宋体" w:cs="宋体"/>
                <w:szCs w:val="21"/>
              </w:rPr>
            </w:pPr>
            <w:r>
              <w:rPr>
                <w:rFonts w:hint="eastAsia" w:ascii="宋体" w:hAnsi="宋体" w:eastAsia="宋体" w:cs="宋体"/>
                <w:szCs w:val="21"/>
              </w:rPr>
              <w:t xml:space="preserve">长效时段1人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tc>
        <w:tc>
          <w:tcPr>
            <w:tcW w:w="1665" w:type="dxa"/>
            <w:vAlign w:val="center"/>
            <w:vMerge w:val="continue"/>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晓市路</w:t>
            </w:r>
            <w:r/>
          </w:p>
        </w:tc>
        <w:tc>
          <w:tcPr>
            <w:tcW w:w="195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长效时段4人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重点时段2人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重点时段17:00-21:00</w:t>
            </w:r>
            <w:r/>
          </w:p>
        </w:tc>
        <w:tc>
          <w:tcPr>
            <w:tcW w:w="1665" w:type="dxa"/>
            <w:vAlign w:val="center"/>
            <w:vMerge w:val="continue"/>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迎宾路</w:t>
            </w:r>
            <w:r/>
          </w:p>
        </w:tc>
        <w:tc>
          <w:tcPr>
            <w:tcW w:w="195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长效时段2人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重点时段1人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重点时段17:00-21:00</w:t>
            </w:r>
            <w:r/>
          </w:p>
        </w:tc>
        <w:tc>
          <w:tcPr>
            <w:tcW w:w="1665" w:type="dxa"/>
            <w:vAlign w:val="center"/>
            <w:vMerge w:val="continue"/>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育才路</w:t>
            </w:r>
            <w:r/>
          </w:p>
        </w:tc>
        <w:tc>
          <w:tcPr>
            <w:tcW w:w="195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长效时段1人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tc>
        <w:tc>
          <w:tcPr>
            <w:tcW w:w="1665" w:type="dxa"/>
            <w:vAlign w:val="center"/>
            <w:vMerge w:val="continue"/>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鸿福路</w:t>
            </w:r>
            <w:r/>
          </w:p>
        </w:tc>
        <w:tc>
          <w:tcPr>
            <w:tcW w:w="195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长效时段1人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tc>
        <w:tc>
          <w:tcPr>
            <w:tcW w:w="1665" w:type="dxa"/>
            <w:vAlign w:val="center"/>
            <w:vMerge w:val="continue"/>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鸿运路</w:t>
            </w:r>
            <w:r/>
          </w:p>
        </w:tc>
        <w:tc>
          <w:tcPr>
            <w:tcW w:w="195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长效时段1人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tc>
        <w:tc>
          <w:tcPr>
            <w:tcW w:w="1665" w:type="dxa"/>
            <w:vAlign w:val="center"/>
            <w:vMerge w:val="continue"/>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pacing w:val="-11"/>
                <w:szCs w:val="21"/>
              </w:rPr>
            </w:pPr>
            <w:r>
              <w:rPr>
                <w:rFonts w:hint="eastAsia" w:ascii="宋体" w:hAnsi="宋体" w:eastAsia="宋体" w:cs="宋体"/>
                <w:spacing w:val="-11"/>
                <w:szCs w:val="21"/>
              </w:rPr>
              <w:t xml:space="preserve">鸣市路</w:t>
            </w:r>
            <w:r/>
          </w:p>
        </w:tc>
        <w:tc>
          <w:tcPr>
            <w:tcW w:w="195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长效时段2人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重点时段1人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长效时段7:00-19:00</w:t>
            </w:r>
            <w:r/>
          </w:p>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重点时段17:00-21:00</w:t>
            </w:r>
            <w:r/>
          </w:p>
        </w:tc>
        <w:tc>
          <w:tcPr>
            <w:tcW w:w="1665" w:type="dxa"/>
            <w:vAlign w:val="center"/>
            <w:vMerge w:val="continue"/>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W w:w="637" w:type="dxa"/>
            <w:vAlign w:val="center"/>
            <w:textDirection w:val="lrTb"/>
            <w:noWrap w:val="false"/>
          </w:tcPr>
          <w:p>
            <w:pPr>
              <w:numPr>
                <w:ilvl w:val="0"/>
                <w:numId w:val="3"/>
              </w:numPr>
              <w:jc w:val="center"/>
              <w:spacing w:line="360" w:lineRule="auto"/>
              <w:tabs>
                <w:tab w:val="clear" w:pos="0" w:leader="none"/>
                <w:tab w:val="left" w:pos="851" w:leader="none"/>
              </w:tabs>
              <w:rPr>
                <w:rFonts w:hint="eastAsia" w:ascii="宋体" w:hAnsi="宋体" w:eastAsia="宋体" w:cs="宋体"/>
                <w:szCs w:val="21"/>
              </w:rPr>
            </w:pPr>
            <w:r>
              <w:rPr>
                <w:rFonts w:hint="eastAsia" w:ascii="宋体" w:hAnsi="宋体" w:eastAsia="宋体" w:cs="宋体"/>
                <w:szCs w:val="21"/>
              </w:rPr>
            </w:r>
            <w:r/>
          </w:p>
        </w:tc>
        <w:tc>
          <w:tcPr>
            <w:tcW w:w="1283"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合计</w:t>
            </w:r>
            <w:r/>
          </w:p>
        </w:tc>
        <w:tc>
          <w:tcPr>
            <w:tcW w:w="1950"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t xml:space="preserve">19人</w:t>
            </w:r>
            <w:r/>
          </w:p>
        </w:tc>
        <w:tc>
          <w:tcPr>
            <w:tcW w:w="2967"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c>
          <w:tcPr>
            <w:tcW w:w="1665" w:type="dxa"/>
            <w:vAlign w:val="center"/>
            <w:textDirection w:val="lrTb"/>
            <w:noWrap w:val="false"/>
          </w:tcPr>
          <w:p>
            <w:pPr>
              <w:jc w:val="center"/>
              <w:spacing w:line="360" w:lineRule="auto"/>
              <w:tabs>
                <w:tab w:val="left" w:pos="851" w:leader="none"/>
              </w:tabs>
              <w:rPr>
                <w:rFonts w:hint="eastAsia" w:ascii="宋体" w:hAnsi="宋体" w:eastAsia="宋体" w:cs="宋体"/>
                <w:szCs w:val="21"/>
              </w:rPr>
            </w:pPr>
            <w:r>
              <w:rPr>
                <w:rFonts w:hint="eastAsia" w:ascii="宋体" w:hAnsi="宋体" w:eastAsia="宋体" w:cs="宋体"/>
                <w:szCs w:val="21"/>
              </w:rPr>
            </w:r>
            <w:r/>
          </w:p>
        </w:tc>
      </w:tr>
    </w:tbl>
    <w:p>
      <w:pPr>
        <w:ind w:firstLine="422"/>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注：长效时段及重点时段具体工作时间根据甲方需求调整。</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（2）突发应急处置部分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right w:w="51" w:type="dxa"/>
        </w:tblCellMar>
        <w:tblLook w:val="04A0" w:firstRow="1" w:lastRow="0" w:firstColumn="1" w:lastColumn="0" w:noHBand="0" w:noVBand="1"/>
      </w:tblPr>
      <w:tblGrid>
        <w:gridCol w:w="601"/>
        <w:gridCol w:w="2080"/>
        <w:gridCol w:w="1850"/>
        <w:gridCol w:w="1045"/>
        <w:gridCol w:w="2946"/>
      </w:tblGrid>
      <w:tr>
        <w:trPr>
          <w:jc w:val="center"/>
          <w:trHeight w:val="90"/>
        </w:trPr>
        <w:tc>
          <w:tcPr>
            <w:tcW w:w="601"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20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w:t>
            </w:r>
            <w:r/>
          </w:p>
        </w:tc>
        <w:tc>
          <w:tcPr>
            <w:tcW w:w="185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人数</w:t>
            </w:r>
            <w:r/>
          </w:p>
        </w:tc>
        <w:tc>
          <w:tcPr>
            <w:tcW w:w="1045"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工作时间</w:t>
            </w:r>
            <w:r/>
          </w:p>
        </w:tc>
        <w:tc>
          <w:tcPr>
            <w:tcW w:w="294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jc w:val="center"/>
          <w:trHeight w:val="90"/>
        </w:trPr>
        <w:tc>
          <w:tcPr>
            <w:tcW w:w="601"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20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应急处突保安员</w:t>
            </w:r>
            <w:r/>
          </w:p>
        </w:tc>
        <w:tc>
          <w:tcPr>
            <w:tcW w:w="185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预估</w:t>
            </w:r>
            <w:r>
              <w:rPr>
                <w:rFonts w:hint="eastAsia" w:ascii="宋体" w:hAnsi="宋体" w:eastAsia="宋体" w:cs="Times New Roman"/>
                <w:szCs w:val="21"/>
              </w:rPr>
              <w:t xml:space="preserve">1406.25</w:t>
            </w:r>
            <w:r>
              <w:rPr>
                <w:rFonts w:hint="eastAsia" w:ascii="宋体" w:hAnsi="宋体" w:eastAsia="宋体" w:cs="Times New Roman"/>
                <w:szCs w:val="21"/>
              </w:rPr>
              <w:t xml:space="preserve">班次</w:t>
            </w:r>
            <w:r/>
          </w:p>
        </w:tc>
        <w:tc>
          <w:tcPr>
            <w:tcW w:w="1045"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8小时</w:t>
            </w:r>
            <w:r/>
          </w:p>
        </w:tc>
        <w:tc>
          <w:tcPr>
            <w:tcW w:w="294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全年预估应急处突保安人员共计</w:t>
            </w:r>
            <w:r>
              <w:rPr>
                <w:rFonts w:hint="eastAsia" w:ascii="宋体" w:hAnsi="宋体" w:eastAsia="宋体" w:cs="Times New Roman"/>
                <w:szCs w:val="21"/>
              </w:rPr>
              <w:t xml:space="preserve">1406.25</w:t>
            </w:r>
            <w:r>
              <w:rPr>
                <w:rFonts w:hint="eastAsia" w:ascii="宋体" w:hAnsi="宋体" w:eastAsia="宋体" w:cs="Times New Roman"/>
                <w:szCs w:val="21"/>
              </w:rPr>
              <w:t xml:space="preserve">班次</w:t>
            </w:r>
            <w:r/>
          </w:p>
        </w:tc>
      </w:tr>
    </w:tbl>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2、人员要求</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（1）项目经理，男性，20-50周岁。</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（2）项目经理岗位职责</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①全面负责本执勤点的日常管理工作，为甪</w:t>
      </w:r>
      <w:r>
        <w:rPr>
          <w:rFonts w:hint="eastAsia" w:ascii="宋体" w:hAnsi="宋体" w:eastAsia="宋体" w:cs="Times New Roman"/>
          <w:szCs w:val="21"/>
        </w:rPr>
        <w:t xml:space="preserve">直创造</w:t>
      </w:r>
      <w:r>
        <w:rPr>
          <w:rFonts w:hint="eastAsia" w:ascii="宋体" w:hAnsi="宋体" w:eastAsia="宋体" w:cs="Times New Roman"/>
          <w:szCs w:val="21"/>
        </w:rPr>
        <w:t xml:space="preserve">良好的治安环境和交通秩序。</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②熟悉掌握执勤点的基本概况，负责项目的日常管理等工作。</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③做好保安员的工作安排，合理安排岗位及人员，确保执勤</w:t>
      </w:r>
      <w:r>
        <w:rPr>
          <w:rFonts w:hint="eastAsia" w:ascii="宋体" w:hAnsi="宋体" w:eastAsia="宋体" w:cs="Times New Roman"/>
          <w:szCs w:val="21"/>
        </w:rPr>
        <w:t xml:space="preserve">点安全</w:t>
      </w:r>
      <w:r>
        <w:rPr>
          <w:rFonts w:hint="eastAsia" w:ascii="宋体" w:hAnsi="宋体" w:eastAsia="宋体" w:cs="Times New Roman"/>
          <w:szCs w:val="21"/>
        </w:rPr>
        <w:t xml:space="preserve">稳定、无管理死角。</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④检查各岗位工作情况，纪律情况，执勤情况，进行督导。</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⑤负责保安员的业务技能培训，提高保安员业务技能水平。</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⑥做好保安员的思想工作，及时了解队员思想动态，关心队员生活，帮助解决困难，加强队员互帮、互助、互学精神，处理内部纠纷提高员工积极性。</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⑦执勤点出现异常情况，突发事件要及时赶到现场了解，处理控制事态恶化，减少损失，能处理的自己处理，不能处理的及时报告。</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⑧熟悉公司的各项规章制度和国家治安条例等相关的法律法规，培养队伍具有高度的组织纪律性和良好的工作作风。</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⑨牢记各类紧急联络电话号码和联系方法，保证随时能应对和处理一切突发事件和紧急情况。</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⑩遇有重要活动和节假日要提高警惕，切实做好管理工作。</w:t>
      </w:r>
      <w:r/>
    </w:p>
    <w:p>
      <w:pPr>
        <w:ind w:firstLine="420"/>
        <w:spacing w:line="360" w:lineRule="auto"/>
        <w:widowControl/>
        <w:rPr>
          <w:rFonts w:hint="eastAsia" w:ascii="宋体" w:hAnsi="宋体" w:eastAsia="宋体" w:cs="Times New Roman"/>
          <w:szCs w:val="21"/>
        </w:rPr>
      </w:pPr>
      <w:r>
        <w:rPr>
          <w:rFonts w:ascii="Cambria Math" w:hAnsi="Cambria Math" w:eastAsia="宋体" w:cs="Cambria Math"/>
          <w:szCs w:val="21"/>
        </w:rPr>
        <w:t xml:space="preserve">⑪</w:t>
      </w:r>
      <w:r>
        <w:rPr>
          <w:rFonts w:hint="eastAsia" w:ascii="宋体" w:hAnsi="宋体" w:eastAsia="宋体" w:cs="宋体"/>
          <w:szCs w:val="21"/>
        </w:rPr>
        <w:t xml:space="preserve">积极完成上级交办的其它工作。</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（2）保安员，男性，年龄20周岁以上、50周岁以下，初中及以上学历，身体健康，体检合格，</w:t>
      </w:r>
      <w:r>
        <w:rPr>
          <w:rFonts w:hint="eastAsia" w:ascii="宋体" w:hAnsi="宋体" w:eastAsia="宋体" w:cs="Times New Roman"/>
          <w:szCs w:val="21"/>
        </w:rPr>
        <w:t xml:space="preserve">长效保障</w:t>
      </w:r>
      <w:r>
        <w:rPr>
          <w:rFonts w:hint="eastAsia" w:ascii="宋体" w:hAnsi="宋体" w:eastAsia="宋体" w:cs="Times New Roman"/>
          <w:szCs w:val="21"/>
        </w:rPr>
        <w:t xml:space="preserve">保安员须持证上岗。</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（3）上岗时，应当穿着规范的工作服，不得佩戴饰物，工作服饰应当保持整洁，非因公务行为不得穿着工作服饰。不准留胡须、蓄长发、染发（黑色除外）、刺青纹身。</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（4）保安人员工作时应当保持仪表整洁、举止端庄、谈吐文明、精神振作、姿态良好，不得盛气凌人、态度粗暴、举止失</w:t>
      </w:r>
      <w:r>
        <w:rPr>
          <w:rFonts w:hint="eastAsia" w:ascii="宋体" w:hAnsi="宋体" w:eastAsia="宋体" w:cs="Times New Roman"/>
          <w:szCs w:val="21"/>
        </w:rPr>
        <w:t xml:space="preserve">范</w:t>
      </w:r>
      <w:r>
        <w:rPr>
          <w:rFonts w:hint="eastAsia" w:ascii="宋体" w:hAnsi="宋体" w:eastAsia="宋体" w:cs="Times New Roman"/>
          <w:szCs w:val="21"/>
        </w:rPr>
        <w:t xml:space="preserve">。</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（5）所有保安人员工作时间不准抽烟或吃零食以及做和工作无关的事；不得从事有偿服务，不准接受来办群众的任何物品；使用语言要文明，举止要大方，要具有一定的工作经验。</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（6）中标后所有保安人员应向采购人提供本人身份证原件查验，复印件备案；所有人员不得有任何不良记录（以公安部门登记为准）</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3、拖车</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供应商负责提供拖车，运输市容秩序管理过程中各类违规车辆、流动摊贩工具等。全年预估拖车次数为500次，最终拖车服务费用按实结算。</w:t>
      </w:r>
      <w:r/>
    </w:p>
    <w:p>
      <w:pPr>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（六）服务内容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甪直镇区道路秩序</w:t>
      </w:r>
      <w:r>
        <w:rPr>
          <w:rFonts w:hint="eastAsia" w:ascii="宋体" w:hAnsi="宋体" w:eastAsia="宋体" w:cs="Times New Roman"/>
          <w:szCs w:val="21"/>
        </w:rPr>
        <w:t xml:space="preserve">长效保障</w:t>
      </w:r>
      <w:r>
        <w:rPr>
          <w:rFonts w:hint="eastAsia" w:ascii="宋体" w:hAnsi="宋体" w:eastAsia="宋体" w:cs="Times New Roman"/>
          <w:szCs w:val="21"/>
        </w:rPr>
        <w:t xml:space="preserve">具体整治工作分为二个部分。</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t xml:space="preserve">长效保障</w:t>
      </w:r>
      <w:r>
        <w:rPr>
          <w:rFonts w:hint="eastAsia" w:ascii="宋体" w:hAnsi="宋体" w:eastAsia="宋体" w:cs="Times New Roman"/>
          <w:szCs w:val="21"/>
        </w:rPr>
        <w:t xml:space="preserve">工作内容：协助采购人开展道路秩序长效管理工作，发现违法行为及时劝导，拒不配合的及时上报采购人并协助采购人开展工作，确保达到以下目标：</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（1）外包路面全天候无流动摊、夜排档。采取全镇区段、全天候、全覆盖的高压严管防控措施。放心早餐摊在规定时间、地点规范经营。</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（2）所有商家按规定进店经营，不得擅自扩大经营面积、范围，无店外展示商品、占道经营、嗓音扰民等行为。</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外包路段车辆有序停放在车位线内，无乱停乱放现象。对不按规定停放机动车和非机动车的，及时进行提醒、劝阻、纠正，拒不配合的，及时上报采购人。路面巡查队员通过加强对市民的服务、引导来规范其停车行为，重点做好各路段道路两侧人行道</w:t>
      </w:r>
      <w:r>
        <w:rPr>
          <w:rFonts w:hint="eastAsia" w:ascii="宋体" w:hAnsi="宋体" w:eastAsia="宋体" w:cs="Times New Roman"/>
          <w:szCs w:val="21"/>
        </w:rPr>
        <w:t xml:space="preserve">板车辆</w:t>
      </w:r>
      <w:r>
        <w:rPr>
          <w:rFonts w:hint="eastAsia" w:ascii="宋体" w:hAnsi="宋体" w:eastAsia="宋体" w:cs="Times New Roman"/>
          <w:szCs w:val="21"/>
        </w:rPr>
        <w:t xml:space="preserve">停放秩序问题。</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沿街商家各种地脚灯箱、店招店牌等广告按规定摆放、设置，不得随意占道、私自乱设。对新设置的户外广告和店招按照审批的有关要素进行现场查看，及时发现、劝阻未经审批和不按审批要素制作的违章设置行为，并及时上报采购人。协助采购人依法全面清理，集中整治不规范广告，如路灯杆扁担旗、随意设置指示牌、</w:t>
      </w:r>
      <w:r>
        <w:rPr>
          <w:rFonts w:hint="eastAsia" w:ascii="宋体" w:hAnsi="宋体" w:eastAsia="宋体" w:cs="Times New Roman"/>
          <w:szCs w:val="21"/>
        </w:rPr>
        <w:t xml:space="preserve">拉挂横幅</w:t>
      </w:r>
      <w:r>
        <w:rPr>
          <w:rFonts w:hint="eastAsia" w:ascii="宋体" w:hAnsi="宋体" w:eastAsia="宋体" w:cs="Times New Roman"/>
          <w:szCs w:val="21"/>
        </w:rPr>
        <w:t xml:space="preserve">等；协助采购人对未经审批、到期未拆、陈旧破损、无主锈蚀、用字不规范等影响市容的户外广告实施技术性拆除。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（5）路面全天候无随意乱发各种宣传单行为。</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（6）协助采购人对各沿街店面切实按所签订的市容环卫责任书进行跟踪督促。对履行市容环卫责任不到位的商家，及时要求整改落实到位，拒不改正的及时上报采购人。</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（7）重点区域无流动菜摊，通过早、晚值班制劝导流动菜摊进入规定场所经营，对不听劝导的及时上报</w:t>
      </w:r>
      <w:r>
        <w:rPr>
          <w:rFonts w:hint="eastAsia" w:ascii="宋体" w:hAnsi="宋体" w:eastAsia="宋体" w:cs="Times New Roman"/>
          <w:szCs w:val="21"/>
        </w:rPr>
        <w:t xml:space="preserve">采购人</w:t>
      </w:r>
      <w:r>
        <w:rPr>
          <w:rFonts w:hint="eastAsia" w:ascii="宋体" w:hAnsi="宋体" w:eastAsia="宋体" w:cs="Times New Roman"/>
          <w:szCs w:val="21"/>
        </w:rPr>
        <w:t xml:space="preserve">，协助</w:t>
      </w:r>
      <w:r>
        <w:rPr>
          <w:rFonts w:hint="eastAsia" w:ascii="宋体" w:hAnsi="宋体" w:eastAsia="宋体" w:cs="Times New Roman"/>
          <w:szCs w:val="21"/>
        </w:rPr>
        <w:t xml:space="preserve">采购人</w:t>
      </w:r>
      <w:r>
        <w:rPr>
          <w:rFonts w:hint="eastAsia" w:ascii="宋体" w:hAnsi="宋体" w:eastAsia="宋体" w:cs="Times New Roman"/>
          <w:szCs w:val="21"/>
        </w:rPr>
        <w:t xml:space="preserve">工作。</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（8）协助采购人对不规范店外搭建物和不规则遮阳雨棚实施技术性拆除。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（9）其他交办的非执法的辅助性、临时性事务工作，如公园巡查、闲置地块巡查、停车场巡查、清理城市牛皮廯、协助现场秩序维护、搬运物品等。</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2、突发应急处置工作内容如下：</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（1）遇突发治安应急事件（打架斗殴、抢劫、寻衅滋事等）、消防应急事件（火灾）、自然灾害事件（地震、洪水、台风、冰冻雨雪等恶劣天气）、特殊事故/情况（交通意外、公共卫生事件等）</w:t>
      </w:r>
      <w:r>
        <w:rPr>
          <w:rFonts w:hint="eastAsia" w:ascii="宋体" w:hAnsi="宋体" w:eastAsia="宋体" w:cs="Times New Roman"/>
          <w:szCs w:val="21"/>
        </w:rPr>
        <w:t xml:space="preserve">各类清障</w:t>
      </w:r>
      <w:r>
        <w:rPr>
          <w:rFonts w:hint="eastAsia" w:ascii="宋体" w:hAnsi="宋体" w:eastAsia="宋体" w:cs="Times New Roman"/>
          <w:szCs w:val="21"/>
        </w:rPr>
        <w:t xml:space="preserve">，应急处突保安员第一时间响应，并按采购人领导要求及时到场处置。</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（2）遇重大活动（体育比赛、演唱会、庙会等大型群众性活动）或</w:t>
      </w:r>
      <w:r>
        <w:rPr>
          <w:rFonts w:hint="eastAsia" w:ascii="宋体" w:hAnsi="宋体" w:eastAsia="宋体" w:cs="Times New Roman"/>
          <w:szCs w:val="21"/>
        </w:rPr>
        <w:t xml:space="preserve">临时</w:t>
      </w:r>
      <w:r>
        <w:rPr>
          <w:rFonts w:hint="eastAsia" w:ascii="宋体" w:hAnsi="宋体" w:eastAsia="宋体" w:cs="Times New Roman"/>
          <w:szCs w:val="21"/>
        </w:rPr>
        <w:t xml:space="preserve">任务（采购人下达的任务）时，提前部署，精心组织应急处突保安员，做好活动/任务前的处置工作。</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六</w:t>
      </w:r>
      <w:r>
        <w:rPr>
          <w:rFonts w:ascii="宋体" w:hAnsi="宋体" w:eastAsia="宋体" w:cs="Times New Roman"/>
          <w:b/>
          <w:szCs w:val="21"/>
        </w:rPr>
        <w:t xml:space="preserve">、磋商有关说明：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1、响应单位所提供的相关货物或服务应符合国家有关标准和规范，</w:t>
      </w:r>
      <w:r>
        <w:rPr>
          <w:rFonts w:hint="eastAsia" w:ascii="宋体" w:hAnsi="宋体" w:eastAsia="宋体" w:cs="宋体"/>
          <w:szCs w:val="21"/>
        </w:rPr>
        <w:t xml:space="preserve">遵循磋商</w:t>
      </w:r>
      <w:r>
        <w:rPr>
          <w:rFonts w:hint="eastAsia" w:ascii="宋体" w:hAnsi="宋体" w:eastAsia="宋体" w:cs="宋体"/>
          <w:szCs w:val="21"/>
        </w:rPr>
        <w:t xml:space="preserve">采购文件的要求，并提供详细说明。</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响应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、响应单位提供的磋商响应文件内容须真实、准确、有效，如提供虚假材料或对磋商采购文件所要求说明的情况故意隐瞒或虚报，视为</w:t>
      </w:r>
      <w:r>
        <w:rPr>
          <w:rFonts w:hint="eastAsia" w:ascii="宋体" w:hAnsi="宋体" w:eastAsia="宋体" w:cs="宋体"/>
          <w:szCs w:val="21"/>
        </w:rPr>
        <w:t xml:space="preserve">不</w:t>
      </w:r>
      <w:r>
        <w:rPr>
          <w:rFonts w:hint="eastAsia" w:ascii="宋体" w:hAnsi="宋体" w:eastAsia="宋体" w:cs="宋体"/>
          <w:szCs w:val="21"/>
        </w:rPr>
        <w:t xml:space="preserve">实质性响应采购要求，其磋商响应文件将被拒绝。</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t xml:space="preserve">、凡</w:t>
      </w:r>
      <w:r>
        <w:rPr>
          <w:rFonts w:hint="eastAsia" w:ascii="宋体" w:hAnsi="宋体" w:eastAsia="宋体" w:cs="宋体"/>
          <w:szCs w:val="21"/>
        </w:rPr>
        <w:t xml:space="preserve">涉及磋商</w:t>
      </w:r>
      <w:r>
        <w:rPr>
          <w:rFonts w:hint="eastAsia" w:ascii="宋体" w:hAnsi="宋体" w:eastAsia="宋体" w:cs="宋体"/>
          <w:szCs w:val="21"/>
        </w:rPr>
        <w:t xml:space="preserve">采购文件的补充说明和修改，均以苏州政府采购网上发布的通知为准。</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七、政府采购有关政策：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1、关于节能环保产品政府采购要求：</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1.2采购清单中的产品属于环境标志产品政府采购品目清单的优先采购的，则在综合评分相同情况下，提供优先采购产品更多的响应单位优先成交。</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2、进一步明确政府采购促进残疾人就业政策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1、关于政府采购促进中小企业发展政策要求：</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在响应文件中，签署《中小企业声明函》，并根据工信部联企业〔2011〕300号通知，未在响应文件中提供《中小企业声明函》的，不享受促进中小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37"/>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（1）查询时间：投标文件提交截止时间。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（2）查询渠道：采购代理机构会在接收响应文件截止时间后，登录“苏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八、</w:t>
      </w:r>
      <w:r>
        <w:rPr>
          <w:rFonts w:ascii="宋体" w:hAnsi="宋体" w:eastAsia="宋体" w:cs="Times New Roman"/>
          <w:b/>
          <w:bCs/>
          <w:szCs w:val="21"/>
        </w:rPr>
        <w:t xml:space="preserve">凡</w:t>
      </w:r>
      <w:r>
        <w:rPr>
          <w:rFonts w:ascii="宋体" w:hAnsi="宋体" w:eastAsia="宋体" w:cs="Times New Roman"/>
          <w:b/>
          <w:bCs/>
          <w:szCs w:val="21"/>
        </w:rPr>
        <w:t xml:space="preserve">涉及</w:t>
      </w:r>
      <w:r>
        <w:rPr>
          <w:rFonts w:hint="eastAsia" w:ascii="宋体" w:hAnsi="宋体" w:eastAsia="宋体" w:cs="Times New Roman"/>
          <w:b/>
          <w:bCs/>
          <w:szCs w:val="21"/>
        </w:rPr>
        <w:t xml:space="preserve">磋商</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numPr>
          <w:ilvl w:val="0"/>
          <w:numId w:val="4"/>
        </w:numPr>
        <w:ind w:left="538" w:hanging="538"/>
        <w:jc w:val="left"/>
        <w:spacing w:line="360" w:lineRule="auto"/>
        <w:widowControl/>
        <w:tabs>
          <w:tab w:val="left" w:pos="540" w:leader="none"/>
        </w:tabs>
        <w:rPr>
          <w:rFonts w:hint="eastAsia" w:ascii="宋体" w:hAnsi="宋体" w:eastAsia="宋体" w:cs="Times New Roman"/>
          <w:b/>
          <w:bCs/>
          <w:szCs w:val="21"/>
        </w:rPr>
      </w:pPr>
      <w:r>
        <w:rPr>
          <w:rFonts w:hint="eastAsia" w:ascii="宋体" w:hAnsi="宋体" w:eastAsia="宋体" w:cs="Times New Roman"/>
          <w:b/>
          <w:bCs/>
          <w:szCs w:val="21"/>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本次</w:t>
      </w:r>
      <w:r>
        <w:rPr>
          <w:rFonts w:hint="eastAsia" w:ascii="宋体" w:hAnsi="宋体" w:eastAsia="宋体" w:cs="Times New Roman"/>
          <w:szCs w:val="21"/>
        </w:rPr>
        <w:t xml:space="preserve">磋商采用综合评分法，即在</w:t>
      </w:r>
      <w:r>
        <w:rPr>
          <w:rFonts w:ascii="宋体" w:hAnsi="宋体" w:eastAsia="宋体" w:cs="Times New Roman"/>
          <w:szCs w:val="21"/>
        </w:rPr>
        <w:t xml:space="preserve">响应文件满足磋商文件全部实质性要求且按评审因素的量化指标评审得分最高的供应商为成交候选供应商</w:t>
      </w:r>
      <w:r>
        <w:rPr>
          <w:rFonts w:hint="eastAsia" w:ascii="宋体" w:hAnsi="宋体" w:eastAsia="宋体" w:cs="Times New Roman"/>
          <w:szCs w:val="21"/>
        </w:rPr>
        <w:t xml:space="preserve">。采购人书面</w:t>
      </w:r>
      <w:r>
        <w:rPr>
          <w:rFonts w:hint="eastAsia" w:ascii="宋体" w:hAnsi="宋体" w:eastAsia="宋体" w:cs="Times New Roman"/>
          <w:szCs w:val="21"/>
        </w:rPr>
        <w:t xml:space="preserve">授权磋商</w:t>
      </w:r>
      <w:r>
        <w:rPr>
          <w:rFonts w:hint="eastAsia" w:ascii="宋体" w:hAnsi="宋体" w:eastAsia="宋体" w:cs="Times New Roman"/>
          <w:szCs w:val="21"/>
        </w:rPr>
        <w:t xml:space="preserve">小组直接确定成交供应商</w:t>
      </w:r>
      <w:r>
        <w:rPr>
          <w:rFonts w:ascii="宋体" w:hAnsi="宋体" w:eastAsia="宋体" w:cs="Times New Roman"/>
          <w:szCs w:val="21"/>
        </w:rPr>
        <w:t xml:space="preserve">。</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如出现评审总得分最高的</w:t>
      </w:r>
      <w:r>
        <w:rPr>
          <w:rFonts w:hint="eastAsia" w:ascii="宋体" w:hAnsi="宋体" w:eastAsia="宋体" w:cs="Times New Roman"/>
          <w:szCs w:val="21"/>
        </w:rPr>
        <w:t xml:space="preserve">响应单位</w:t>
      </w:r>
      <w:r>
        <w:rPr>
          <w:rFonts w:ascii="宋体" w:hAnsi="宋体" w:eastAsia="宋体" w:cs="Times New Roman"/>
          <w:szCs w:val="21"/>
        </w:rPr>
        <w:t xml:space="preserve">有两个或两个以上的，以实际</w:t>
      </w:r>
      <w:r>
        <w:rPr>
          <w:rFonts w:hint="eastAsia" w:ascii="宋体" w:hAnsi="宋体" w:eastAsia="宋体" w:cs="Times New Roman"/>
          <w:szCs w:val="21"/>
        </w:rPr>
        <w:t xml:space="preserve">磋商</w:t>
      </w:r>
      <w:r>
        <w:rPr>
          <w:rFonts w:ascii="宋体" w:hAnsi="宋体" w:eastAsia="宋体" w:cs="Times New Roman"/>
          <w:szCs w:val="21"/>
        </w:rPr>
        <w:t xml:space="preserve">报价较低者优先作为</w:t>
      </w:r>
      <w:r>
        <w:rPr>
          <w:rFonts w:hint="eastAsia" w:ascii="宋体" w:hAnsi="宋体" w:eastAsia="宋体" w:cs="Times New Roman"/>
          <w:szCs w:val="21"/>
        </w:rPr>
        <w:t xml:space="preserve">成交</w:t>
      </w:r>
      <w:r>
        <w:rPr>
          <w:rFonts w:ascii="宋体" w:hAnsi="宋体" w:eastAsia="宋体" w:cs="Times New Roman"/>
          <w:szCs w:val="21"/>
        </w:rPr>
        <w:t xml:space="preserve">候选人，如果实际</w:t>
      </w:r>
      <w:r>
        <w:rPr>
          <w:rFonts w:hint="eastAsia" w:ascii="宋体" w:hAnsi="宋体" w:eastAsia="宋体" w:cs="Times New Roman"/>
          <w:szCs w:val="21"/>
        </w:rPr>
        <w:t xml:space="preserve">磋商</w:t>
      </w:r>
      <w:r>
        <w:rPr>
          <w:rFonts w:ascii="宋体" w:hAnsi="宋体" w:eastAsia="宋体" w:cs="Times New Roman"/>
          <w:szCs w:val="21"/>
        </w:rPr>
        <w:t xml:space="preserve">报价也相同的，</w:t>
      </w:r>
      <w:r>
        <w:rPr>
          <w:rFonts w:hint="eastAsia" w:ascii="宋体" w:hAnsi="宋体" w:eastAsia="宋体" w:cs="Times New Roman"/>
          <w:szCs w:val="21"/>
        </w:rPr>
        <w:t xml:space="preserve">则由采购人或者采购代理机构以抽签方式确定成交单位</w:t>
      </w:r>
      <w:r>
        <w:rPr>
          <w:rFonts w:ascii="宋体" w:hAnsi="宋体" w:eastAsia="宋体" w:cs="Times New Roman"/>
          <w:szCs w:val="21"/>
        </w:rPr>
        <w:t xml:space="preserve">。</w:t>
      </w:r>
      <w:r/>
    </w:p>
    <w:p>
      <w:pPr>
        <w:numPr>
          <w:ilvl w:val="0"/>
          <w:numId w:val="4"/>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rPr>
      </w:pPr>
      <w:r>
        <w:rPr>
          <w:rFonts w:hint="eastAsia" w:ascii="宋体" w:hAnsi="宋体" w:eastAsia="宋体" w:cs="Times New Roman"/>
          <w:b/>
          <w:bCs/>
          <w:szCs w:val="21"/>
        </w:rPr>
        <w:t xml:space="preserve">评分标准</w:t>
      </w:r>
      <w:r/>
    </w:p>
    <w:p>
      <w:pPr>
        <w:ind w:firstLine="422"/>
        <w:jc w:val="left"/>
        <w:spacing w:line="360" w:lineRule="auto"/>
        <w:widowControl/>
        <w:tabs>
          <w:tab w:val="left" w:pos="2870" w:leader="none"/>
        </w:tabs>
        <w:rPr>
          <w:rFonts w:hint="eastAsia" w:eastAsia="宋体" w:cs="Times New Roman"/>
          <w:b/>
          <w:szCs w:val="21"/>
        </w:rPr>
      </w:pPr>
      <w:r>
        <w:rPr>
          <w:rFonts w:hint="eastAsia" w:ascii="宋体" w:hAnsi="宋体" w:eastAsia="宋体" w:cs="Times New Roman"/>
          <w:b/>
          <w:szCs w:val="21"/>
        </w:rPr>
        <w:t xml:space="preserve">（一</w:t>
      </w:r>
      <w:r>
        <w:rPr>
          <w:rFonts w:hint="eastAsia" w:eastAsia="宋体" w:cs="Times New Roman"/>
          <w:b/>
          <w:szCs w:val="21"/>
        </w:rPr>
        <w:t xml:space="preserve">）</w:t>
      </w:r>
      <w:r>
        <w:rPr>
          <w:rFonts w:hint="eastAsia" w:eastAsia="宋体" w:cs="Times New Roman"/>
          <w:b/>
          <w:szCs w:val="21"/>
        </w:rPr>
        <w:t xml:space="preserve"> </w:t>
      </w:r>
      <w:r>
        <w:rPr>
          <w:rFonts w:hint="eastAsia" w:eastAsia="宋体" w:cs="Times New Roman"/>
          <w:b/>
          <w:szCs w:val="21"/>
        </w:rPr>
        <w:t xml:space="preserve">报价得分（</w:t>
      </w:r>
      <w:r>
        <w:rPr>
          <w:rFonts w:ascii="宋体" w:hAnsi="宋体" w:eastAsia="宋体" w:cs="Times New Roman"/>
          <w:b/>
          <w:szCs w:val="21"/>
        </w:rPr>
        <w:t xml:space="preserve">1</w:t>
      </w:r>
      <w:r>
        <w:rPr>
          <w:rFonts w:hint="eastAsia" w:ascii="宋体" w:hAnsi="宋体" w:eastAsia="宋体" w:cs="Times New Roman"/>
          <w:b/>
          <w:szCs w:val="21"/>
        </w:rPr>
        <w:t xml:space="preserve">0</w:t>
      </w:r>
      <w:r>
        <w:rPr>
          <w:rFonts w:hint="eastAsia" w:eastAsia="宋体" w:cs="Times New Roman"/>
          <w:b/>
          <w:szCs w:val="21"/>
        </w:rPr>
        <w:t xml:space="preserve">分）</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1、第一步：磋商报价低于或等于采购预算的，为有效磋商报价。超采购预算的磋商报价为</w:t>
      </w:r>
      <w:r>
        <w:rPr>
          <w:rFonts w:ascii="宋体" w:hAnsi="宋体" w:eastAsia="宋体" w:cs="Times New Roman"/>
          <w:szCs w:val="21"/>
        </w:rPr>
        <w:t xml:space="preserve">无效磋商</w:t>
      </w:r>
      <w:r>
        <w:rPr>
          <w:rFonts w:ascii="宋体" w:hAnsi="宋体" w:eastAsia="宋体" w:cs="Times New Roman"/>
          <w:szCs w:val="21"/>
        </w:rPr>
        <w:t xml:space="preserve">报价。</w:t>
      </w:r>
      <w:r>
        <w:rPr>
          <w:rFonts w:ascii="宋体" w:hAnsi="宋体" w:eastAsia="宋体" w:cs="Times New Roman"/>
          <w:szCs w:val="21"/>
        </w:rPr>
        <w:t xml:space="preserve">无效磋商</w:t>
      </w:r>
      <w:r>
        <w:rPr>
          <w:rFonts w:ascii="宋体" w:hAnsi="宋体" w:eastAsia="宋体" w:cs="Times New Roman"/>
          <w:szCs w:val="21"/>
        </w:rPr>
        <w:t xml:space="preserve">报价的磋商响应文件不进行评审，也不得成交。</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2、第二步：在所有有效磋商报价中满足采购文件要求，且经磋商后最终评审价格最低的磋商报价为评标基准价，其价格分为10分，其他磋商供应商的价格</w:t>
      </w:r>
      <w:r>
        <w:rPr>
          <w:rFonts w:ascii="宋体" w:hAnsi="宋体" w:eastAsia="宋体" w:cs="Times New Roman"/>
          <w:szCs w:val="21"/>
        </w:rPr>
        <w:t xml:space="preserve">分按照</w:t>
      </w:r>
      <w:r>
        <w:rPr>
          <w:rFonts w:ascii="宋体" w:hAnsi="宋体" w:eastAsia="宋体" w:cs="Times New Roman"/>
          <w:szCs w:val="21"/>
        </w:rPr>
        <w:t xml:space="preserve">下列公式计算（计算结果四舍五入保留两位小数）</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3、磋商报价得分＝（评标基准价/磋商报价）×10%×100</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4、关于小</w:t>
      </w:r>
      <w:r>
        <w:rPr>
          <w:rFonts w:ascii="宋体" w:hAnsi="宋体" w:eastAsia="宋体" w:cs="Times New Roman"/>
          <w:szCs w:val="21"/>
        </w:rPr>
        <w:t xml:space="preserve">微企业</w:t>
      </w:r>
      <w:r>
        <w:rPr>
          <w:rFonts w:ascii="宋体" w:hAnsi="宋体" w:eastAsia="宋体" w:cs="Times New Roman"/>
          <w:szCs w:val="21"/>
        </w:rPr>
        <w:t xml:space="preserve">价格评审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针对中小型企业、残疾人福利企业和监狱企业的评审：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w:t>
      </w:r>
      <w:r>
        <w:rPr>
          <w:rFonts w:ascii="宋体" w:hAnsi="宋体" w:eastAsia="宋体" w:cs="Times New Roman"/>
          <w:szCs w:val="21"/>
        </w:rPr>
        <w:t xml:space="preserve">2020〕46号）、《关于促进残疾人就业政府采购政策的通知》（财库〔2017〕141号）、《关于政府采购支持监狱企业发展有关问题的通知》（财库〔2014〕68号）、《关于做好政府采购支持企业发展有关事项的通知》（</w:t>
      </w:r>
      <w:r>
        <w:rPr>
          <w:rFonts w:ascii="宋体" w:hAnsi="宋体" w:eastAsia="宋体" w:cs="Times New Roman"/>
          <w:szCs w:val="21"/>
        </w:rPr>
        <w:t xml:space="preserve">苏财购〔2020〕</w:t>
      </w:r>
      <w:r>
        <w:rPr>
          <w:rFonts w:ascii="宋体" w:hAnsi="宋体" w:eastAsia="宋体" w:cs="Times New Roman"/>
          <w:szCs w:val="21"/>
        </w:rPr>
        <w:t xml:space="preserve">52号）及《关于印发&lt;苏州市政府采购促进中小企业发展实施意见&gt;的通知》（</w:t>
      </w:r>
      <w:r>
        <w:rPr>
          <w:rFonts w:ascii="宋体" w:hAnsi="宋体" w:eastAsia="宋体" w:cs="Times New Roman"/>
          <w:szCs w:val="21"/>
        </w:rPr>
        <w:t xml:space="preserve">苏财购〔2022〕</w:t>
      </w:r>
      <w:r>
        <w:rPr>
          <w:rFonts w:ascii="宋体" w:hAnsi="宋体" w:eastAsia="宋体" w:cs="Times New Roman"/>
          <w:szCs w:val="21"/>
        </w:rPr>
        <w:t xml:space="preserve">16号）的有关规定，</w:t>
      </w:r>
      <w:r>
        <w:rPr>
          <w:rFonts w:ascii="宋体" w:hAnsi="宋体" w:eastAsia="宋体" w:cs="Times New Roman"/>
          <w:b/>
          <w:bCs/>
          <w:szCs w:val="21"/>
        </w:rPr>
        <w:t xml:space="preserve">本项目为专门面向中小企业采购的项目，不再执行价格评审优惠的扶持政策</w:t>
      </w:r>
      <w:r>
        <w:rPr>
          <w:rFonts w:ascii="宋体" w:hAnsi="宋体" w:eastAsia="宋体" w:cs="Times New Roman"/>
          <w:szCs w:val="21"/>
        </w:rPr>
        <w:t xml:space="preserve">。投标人必须提供《中小企业声明函》或《残疾人福利性单位声明</w:t>
      </w:r>
      <w:r>
        <w:rPr>
          <w:rFonts w:hint="eastAsia" w:ascii="宋体" w:hAnsi="宋体" w:eastAsia="宋体" w:cs="Times New Roman"/>
          <w:szCs w:val="21"/>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注：①填报“中小企业声明函”需严格按“工信部联企业〔</w:t>
      </w:r>
      <w:r>
        <w:rPr>
          <w:rFonts w:ascii="宋体" w:hAnsi="宋体" w:eastAsia="宋体" w:cs="Times New Roman"/>
          <w:szCs w:val="21"/>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ind w:firstLine="422"/>
        <w:spacing w:line="360" w:lineRule="auto"/>
        <w:rPr>
          <w:rFonts w:hint="eastAsia" w:ascii="宋体" w:hAnsi="宋体" w:eastAsia="宋体" w:cs="宋体"/>
          <w:b/>
          <w:bCs/>
          <w:color w:val="000000"/>
          <w:szCs w:val="21"/>
        </w:rPr>
        <w:outlineLvl w:val="1"/>
      </w:pPr>
      <w:r>
        <w:rPr>
          <w:rFonts w:hint="eastAsia" w:ascii="宋体" w:hAnsi="宋体" w:eastAsia="宋体" w:cs="宋体"/>
          <w:b/>
          <w:bCs/>
          <w:color w:val="000000"/>
          <w:szCs w:val="21"/>
        </w:rPr>
        <w:t xml:space="preserve">（二）服务方案及人员配置比较（61分）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服务总体模式与项目管理运作设计方案比较：技术方案的合理性、完善性、规范性、清晰性、可操作性较好的得6分，合理性、完善性、规范性、清晰性、可操作性一般的得4分，合理性、完善性、规范性、清晰性、可操作性较差的得2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2.服务管理工作具体实施方案（25分）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日常服务标准及措施比较：技术方案的合理性、完善性、规范性、清晰性、可操作性较好的得5分，合理性、完善性、规范性、清晰性、可操作性一般的得3分，合理性、完善性、规范性、清晰性、可操作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道路安全管理及应急队组建方案比较：技术方案的合理性、完善性、规范性、清晰性、可操作性较好的得5分，合理性、完善性、规范性、清晰性、可操作性一般的得3分，合理性、完善性、规范性、清晰性、可操作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2.3服务的重点难点和解决措施比较：技术方案的合理性、完善性、规范性、清晰性、可操作性较好的得5分，合理性、完善性、规范性、清晰性、可操作性一般的得3分，合理性、完善性、规范性、清晰性、可操作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进退场方案比较：技术方案的合理性、完善性、规范性、清晰性、可操作性较好的得5分，合理性、完善性、规范性、清晰性、可操作性一般的得3分，合理性、完善性、规范性、清晰性、可操作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工作人员所用设备、器材的配备情况比较：技术方案的合理性、完善性、规范性、清晰性、可操作性较好的得5分，合理性、完善性、规范性、清晰性、可操作性一般的得3分，合理性、完善性、规范性、清晰性、可操作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人员培训计划方案，年度培训计划、培训及支持方案比较：技术方案的完整性、合理性、可行性、稳定性较好的得5分，完整性、合理性、可行性、稳定性一般的得3分，完整性、合理性、可行性、稳定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突发事件的应急措施的比较：突发事件应急措施，包括特殊事故（情况）措施、治安应急措施、消防应急措施等比较，技术方案的完整性、合理性、可行性、稳定性较好的得5分，完整性、合理性、可行性、稳定性一般的得3分，完整性、合理性、可行性、稳定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5.内部管理规章制度及考核管理办法（20分）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5.1 管理规章制度比较：技术方案的完整性、合理性、可行性、稳定性较好的得5分，完整性、合理性、可行性、稳定性一般的得3分，完整性、合理性、可行性、稳定性较差的得1分；完全未提供不得分。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5.2服务人员安全文明规范比较：技术方案的完整性、合理性、可行性、稳定性较好的得5分，完整性、合理性、可行性、稳定性一般的得3分，完整性、合理性、可行性、稳定性较差的得1分；完全未提供不得分。</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5.3服务档案管理制度比较：技术方案的完整性、合理性、可行性、稳定性较好的得5分，完整性、合理性、可行性、稳定性一般的得3分，完整性、合理性、可行性、稳定性较差的得1分；完全未提供不得分。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5.4服务人员考核制度及标准比较：技术方案的完整性、合理性、可行性、稳定性较好的得5分，完整性、合理性、可行性、稳定性一般的得3分，完整性、合理性、可行性、稳定性较差的得1分；完全未提供不得分。</w:t>
      </w:r>
      <w:r/>
    </w:p>
    <w:p>
      <w:pPr>
        <w:ind w:firstLine="422"/>
        <w:spacing w:line="360" w:lineRule="auto"/>
        <w:rPr>
          <w:rFonts w:hint="eastAsia" w:ascii="宋体" w:hAnsi="宋体" w:eastAsia="宋体" w:cs="宋体"/>
          <w:color w:val="000000"/>
          <w:szCs w:val="21"/>
          <w:lang w:val="zh-TW"/>
        </w:rPr>
        <w:outlineLvl w:val="1"/>
      </w:pPr>
      <w:r>
        <w:rPr>
          <w:rFonts w:hint="eastAsia" w:ascii="宋体" w:hAnsi="宋体" w:eastAsia="宋体" w:cs="宋体"/>
          <w:b/>
          <w:color w:val="000000"/>
          <w:szCs w:val="21"/>
        </w:rPr>
        <w:t xml:space="preserve">（三）针对本项目的项目工作人员配置实力比较（8分）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1、项目配备的管理人员（项目经理、保安队长）匹配程度：4分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具有四级（中级）及以上保安员职业资格证书的得2分，最高4分。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2、配备保安员（项目经理、保安队长除外）匹配程度：4分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保安员获得过由市级（及以上）政府单位或市（及以上）保安协会颁发的优秀保安员荣誉的得2分，最高4分。</w:t>
      </w:r>
      <w:r/>
    </w:p>
    <w:p>
      <w:pPr>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注：以上1、2项人员评审项，响应文件中需提供证书扫描件及响应单位为其缴纳的最近一期的</w:t>
      </w:r>
      <w:r>
        <w:rPr>
          <w:rFonts w:hint="eastAsia" w:ascii="宋体" w:hAnsi="宋体" w:eastAsia="宋体" w:cs="宋体"/>
          <w:b/>
          <w:bCs/>
          <w:color w:val="000000"/>
          <w:szCs w:val="21"/>
        </w:rPr>
        <w:t xml:space="preserve">社保证明</w:t>
      </w:r>
      <w:r>
        <w:rPr>
          <w:rFonts w:hint="eastAsia" w:ascii="宋体" w:hAnsi="宋体" w:eastAsia="宋体" w:cs="宋体"/>
          <w:b/>
          <w:bCs/>
          <w:color w:val="000000"/>
          <w:szCs w:val="21"/>
        </w:rPr>
        <w:t xml:space="preserve">，未提供不得分。</w:t>
      </w:r>
      <w:r/>
    </w:p>
    <w:p>
      <w:pPr>
        <w:ind w:firstLine="422"/>
        <w:spacing w:line="360" w:lineRule="auto"/>
        <w:rPr>
          <w:rFonts w:hint="eastAsia" w:ascii="宋体" w:hAnsi="宋体" w:eastAsia="宋体" w:cs="宋体"/>
          <w:color w:val="000000"/>
          <w:szCs w:val="21"/>
        </w:rPr>
        <w:outlineLvl w:val="1"/>
      </w:pPr>
      <w:r>
        <w:rPr>
          <w:rFonts w:hint="eastAsia" w:ascii="宋体" w:hAnsi="宋体" w:eastAsia="宋体" w:cs="宋体"/>
          <w:b/>
          <w:bCs/>
          <w:color w:val="000000"/>
          <w:szCs w:val="21"/>
        </w:rPr>
        <w:t xml:space="preserve">（四）响应单位综合评价比较（21分）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1、响应单位具有有效期内的质量管理体系认证证书、环境管理体系认证证书、职业健康安全管理体系认证证书，每提供一份得1分，本项最高3分，需提供证书扫描件，网上查询路径及截图，未提供不得分。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zh-TW"/>
        </w:rPr>
        <w:t xml:space="preserve">、响应单位获得过优秀保安服务公司荣誉</w:t>
      </w:r>
      <w:r>
        <w:rPr>
          <w:rFonts w:hint="eastAsia" w:ascii="宋体" w:hAnsi="宋体" w:eastAsia="宋体" w:cs="宋体"/>
          <w:color w:val="000000"/>
          <w:szCs w:val="21"/>
        </w:rPr>
        <w:t xml:space="preserve">（6分）：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由相关省级（及以上）政府单位或省（及以上）保安协会颁发的省优秀保安服务公司，每提供一份得2分</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由相关市级（及以下）政府单位或市（及以下）保安协会颁发的市优秀保安服务公司，每提供一份得1分</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最高</w:t>
      </w:r>
      <w:r>
        <w:rPr>
          <w:rFonts w:hint="eastAsia" w:ascii="宋体" w:hAnsi="宋体" w:eastAsia="宋体" w:cs="宋体"/>
          <w:color w:val="000000"/>
          <w:szCs w:val="21"/>
        </w:rPr>
        <w:t xml:space="preserve">得6</w:t>
      </w:r>
      <w:r>
        <w:rPr>
          <w:rFonts w:hint="eastAsia" w:ascii="宋体" w:hAnsi="宋体" w:eastAsia="宋体" w:cs="宋体"/>
          <w:color w:val="000000"/>
          <w:szCs w:val="21"/>
        </w:rPr>
        <w:t xml:space="preserve">分；需提供证书扫描件，未提供不得分。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3、响应单位具有政府部门颁发的荣誉奖项的（与前款“</w:t>
      </w:r>
      <w:r>
        <w:rPr>
          <w:rFonts w:hint="eastAsia" w:ascii="宋体" w:hAnsi="宋体" w:eastAsia="宋体" w:cs="宋体"/>
          <w:color w:val="000000"/>
          <w:szCs w:val="21"/>
          <w:lang w:val="zh-TW"/>
        </w:rPr>
        <w:t xml:space="preserve">优秀保安服务公司</w:t>
      </w:r>
      <w:r>
        <w:rPr>
          <w:rFonts w:hint="eastAsia" w:ascii="宋体" w:hAnsi="宋体" w:eastAsia="宋体" w:cs="宋体"/>
          <w:color w:val="000000"/>
          <w:szCs w:val="21"/>
        </w:rPr>
        <w:t xml:space="preserve">”不重复计取），每提供一份得2分，最高得4分；需提供证书扫描件，材料未提供或不齐全的不得分。</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4、类似业绩（8分）：</w:t>
      </w:r>
      <w:r/>
    </w:p>
    <w:p>
      <w:pPr>
        <w:ind w:firstLine="482"/>
        <w:jc w:val="left"/>
        <w:spacing w:line="360" w:lineRule="auto"/>
        <w:rPr>
          <w:rFonts w:hint="eastAsia" w:ascii="宋体" w:hAnsi="宋体"/>
          <w:szCs w:val="21"/>
        </w:rPr>
      </w:pPr>
      <w:r>
        <w:rPr>
          <w:rFonts w:hint="eastAsia" w:ascii="宋体" w:hAnsi="宋体" w:eastAsia="宋体" w:cs="宋体"/>
          <w:color w:val="000000"/>
          <w:szCs w:val="21"/>
          <w:lang w:val="zh-TW"/>
        </w:rPr>
        <w:t xml:space="preserve">响应单位近三年（2022年1月1日至今）具有类似项目业绩的，有一份得</w:t>
      </w:r>
      <w:r>
        <w:rPr>
          <w:rFonts w:hint="eastAsia" w:ascii="宋体" w:hAnsi="宋体" w:eastAsia="宋体" w:cs="宋体"/>
          <w:color w:val="000000"/>
          <w:szCs w:val="21"/>
        </w:rPr>
        <w:t xml:space="preserve">2分，最高8分</w:t>
      </w:r>
      <w:r>
        <w:rPr>
          <w:rFonts w:hint="eastAsia" w:ascii="宋体" w:hAnsi="宋体" w:eastAsia="宋体" w:cs="宋体"/>
          <w:color w:val="000000"/>
          <w:szCs w:val="21"/>
          <w:lang w:val="zh-TW"/>
        </w:rPr>
        <w:t xml:space="preserve">，</w:t>
      </w:r>
      <w:r>
        <w:rPr>
          <w:rFonts w:hint="eastAsia" w:ascii="宋体" w:hAnsi="宋体" w:eastAsia="宋体" w:cs="宋体"/>
          <w:color w:val="000000"/>
          <w:szCs w:val="21"/>
        </w:rPr>
        <w:t xml:space="preserve">响应文件中需提供服务合同及服务发票扫描件（合同期内任一期服务发票扫描件），类似业绩日期认定：以合同签订日期为准。</w:t>
      </w:r>
      <w:r/>
    </w:p>
    <w:p>
      <w:pPr>
        <w:ind w:firstLine="482"/>
        <w:jc w:val="left"/>
        <w:spacing w:line="360" w:lineRule="auto"/>
        <w:rPr>
          <w:rFonts w:hint="eastAsia" w:ascii="宋体" w:hAnsi="宋体"/>
          <w:szCs w:val="21"/>
        </w:rPr>
      </w:pPr>
      <w:r>
        <w:rPr>
          <w:rFonts w:hint="eastAsia" w:ascii="宋体" w:hAnsi="宋体"/>
          <w:szCs w:val="21"/>
        </w:rPr>
      </w:r>
      <w:r/>
    </w:p>
    <w:p>
      <w:pPr>
        <w:jc w:val="left"/>
        <w:widowControl/>
        <w:rPr>
          <w:rFonts w:hint="eastAsia" w:ascii="宋体" w:hAnsi="宋体" w:eastAsia="宋体" w:cs="Times New Roman"/>
          <w:b/>
          <w:sz w:val="32"/>
          <w:szCs w:val="32"/>
        </w:rPr>
      </w:pPr>
      <w:r>
        <w:rPr>
          <w:rFonts w:hint="eastAsia" w:ascii="宋体" w:hAnsi="宋体" w:eastAsia="宋体" w:cs="Times New Roman"/>
          <w:b/>
          <w:sz w:val="32"/>
          <w:szCs w:val="32"/>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甲方：苏州市吴中区甪直镇人民政府（苏州市吴中区甪直镇综合行政执法和安全生产监督管理办公室）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乙方：（成交单位）</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根据甲方申请并核准</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政府采购计划，依据甲方委托</w:t>
      </w:r>
      <w:r>
        <w:rPr>
          <w:rFonts w:hint="eastAsia" w:ascii="Times New Roman" w:hAnsi="Times New Roman" w:eastAsia="宋体" w:cs="Times New Roman"/>
          <w:szCs w:val="21"/>
          <w:u w:val="single"/>
        </w:rPr>
        <w:t xml:space="preserve">中</w:t>
      </w:r>
      <w:r>
        <w:rPr>
          <w:rFonts w:hint="eastAsia" w:ascii="Times New Roman" w:hAnsi="Times New Roman" w:eastAsia="宋体" w:cs="Times New Roman"/>
          <w:szCs w:val="21"/>
          <w:u w:val="single"/>
        </w:rPr>
        <w:t xml:space="preserve">拓工程</w:t>
      </w:r>
      <w:r>
        <w:rPr>
          <w:rFonts w:hint="eastAsia" w:ascii="Times New Roman" w:hAnsi="Times New Roman" w:eastAsia="宋体" w:cs="Times New Roman"/>
          <w:szCs w:val="21"/>
          <w:u w:val="single"/>
        </w:rPr>
        <w:t xml:space="preserve">咨询（苏州）有限责任公司</w:t>
      </w:r>
      <w:r>
        <w:rPr>
          <w:rFonts w:hint="eastAsia" w:ascii="Times New Roman" w:hAnsi="Times New Roman" w:eastAsia="宋体" w:cs="Times New Roman"/>
          <w:szCs w:val="21"/>
        </w:rPr>
        <w:t xml:space="preserve">采购编号</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号政府</w:t>
      </w:r>
      <w:r>
        <w:rPr>
          <w:rFonts w:hint="eastAsia" w:ascii="Times New Roman" w:hAnsi="Times New Roman" w:eastAsia="宋体" w:cs="Times New Roman"/>
          <w:szCs w:val="21"/>
        </w:rPr>
        <w:t xml:space="preserve">采购文件及成交单位的响应文件和成交通知书，甲乙双方就此次成交项目的购销事宜，签订本合同书。</w:t>
      </w:r>
      <w:r/>
    </w:p>
    <w:p>
      <w:pPr>
        <w:ind w:firstLine="420"/>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一、合同内容：</w:t>
      </w:r>
      <w:r/>
    </w:p>
    <w:p>
      <w:pPr>
        <w:ind w:firstLine="480"/>
        <w:jc w:val="left"/>
        <w:spacing w:line="360" w:lineRule="auto"/>
        <w:rPr>
          <w:rFonts w:hint="eastAsia" w:ascii="宋体" w:hAnsi="宋体" w:eastAsia="宋体" w:cs="宋体"/>
          <w:b/>
          <w:bCs/>
          <w:szCs w:val="21"/>
        </w:rPr>
      </w:pPr>
      <w:r>
        <w:rPr>
          <w:rFonts w:hint="eastAsia" w:ascii="宋体" w:hAnsi="宋体" w:eastAsia="宋体" w:cs="宋体"/>
          <w:szCs w:val="21"/>
        </w:rPr>
        <w:t xml:space="preserve">1.1项目名称：</w:t>
      </w:r>
      <w:r>
        <w:rPr>
          <w:rFonts w:hint="eastAsia" w:ascii="宋体" w:hAnsi="宋体" w:eastAsia="宋体" w:cs="宋体"/>
          <w:b/>
          <w:bCs/>
          <w:szCs w:val="21"/>
        </w:rPr>
        <w:t xml:space="preserve"> </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1.2项目标号：</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1.3项目内容、项目要求：</w:t>
      </w:r>
      <w:bookmarkStart w:id="38" w:name="_Hlk108791253"/>
      <w:r>
        <w:rPr>
          <w:rFonts w:hint="eastAsia" w:ascii="宋体" w:hAnsi="宋体" w:eastAsia="宋体" w:cs="宋体"/>
          <w:szCs w:val="21"/>
        </w:rPr>
        <w:t xml:space="preserve">详见采购文件</w:t>
      </w:r>
      <w:bookmarkEnd w:id="38"/>
      <w:r>
        <w:rPr>
          <w:rFonts w:hint="eastAsia" w:ascii="宋体" w:hAnsi="宋体" w:eastAsia="宋体" w:cs="宋体"/>
          <w:szCs w:val="21"/>
        </w:rPr>
        <w:t xml:space="preserve">。</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1.4下列文件为本合同不可分割部分：</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（1）中标通知书；    （2）乙方的投标响应文件；      （3）招标文件；</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（4）乙方在投标过程中所作的其它承诺、声明、书面澄清等。</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以上文件与本合同具有同等法律效力，以上文件之间存在歧义或不一致的，以形成时间在后的为准。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二、服务期限：</w:t>
      </w:r>
      <w:r>
        <w:rPr>
          <w:rFonts w:hint="eastAsia" w:ascii="宋体" w:hAnsi="宋体" w:eastAsia="宋体" w:cs="宋体"/>
          <w:szCs w:val="21"/>
        </w:rPr>
        <w:t xml:space="preserve">壹年（</w:t>
      </w:r>
      <w:r>
        <w:rPr>
          <w:rFonts w:hint="eastAsia" w:ascii="宋体" w:hAnsi="宋体" w:eastAsia="宋体" w:cs="宋体"/>
          <w:szCs w:val="21"/>
          <w:u w:val="single"/>
        </w:rPr>
        <w:t xml:space="preserve">2025</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rPr>
          <w:rFonts w:hint="eastAsia" w:ascii="宋体" w:hAnsi="宋体" w:eastAsia="宋体" w:cs="宋体"/>
          <w:szCs w:val="21"/>
          <w:u w:val="single"/>
        </w:rPr>
        <w:t xml:space="preserve">2026</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right="105"/>
        <w:spacing w:line="360" w:lineRule="auto"/>
        <w:rPr>
          <w:rFonts w:hint="eastAsia" w:ascii="宋体" w:hAnsi="宋体" w:eastAsia="宋体" w:cs="宋体"/>
          <w:b/>
          <w:bCs/>
          <w:szCs w:val="21"/>
        </w:rPr>
      </w:pPr>
      <w:r>
        <w:rPr>
          <w:rFonts w:hint="eastAsia" w:ascii="宋体" w:hAnsi="宋体" w:eastAsia="宋体" w:cs="宋体"/>
          <w:b/>
          <w:bCs/>
          <w:szCs w:val="21"/>
        </w:rPr>
        <w:t xml:space="preserve">三、付款方式</w:t>
      </w:r>
      <w:r/>
    </w:p>
    <w:p>
      <w:pPr>
        <w:ind w:firstLine="420"/>
        <w:spacing w:line="360" w:lineRule="auto"/>
        <w:rPr>
          <w:rFonts w:hint="eastAsia" w:ascii="宋体" w:hAnsi="宋体" w:eastAsia="宋体"/>
          <w:bCs/>
          <w:szCs w:val="21"/>
        </w:rPr>
      </w:pPr>
      <w:r>
        <w:rPr>
          <w:rFonts w:ascii="宋体" w:hAnsi="宋体" w:eastAsia="宋体"/>
          <w:bCs/>
          <w:szCs w:val="21"/>
        </w:rPr>
        <w:t xml:space="preserve">1</w:t>
      </w:r>
      <w:r>
        <w:rPr>
          <w:rFonts w:hint="eastAsia" w:ascii="宋体" w:hAnsi="宋体" w:eastAsia="宋体"/>
          <w:bCs/>
          <w:szCs w:val="21"/>
        </w:rPr>
        <w:t xml:space="preserve">、本合同总价款为</w:t>
      </w:r>
      <w:r>
        <w:rPr>
          <w:rFonts w:hint="eastAsia" w:ascii="宋体" w:hAnsi="宋体" w:eastAsia="宋体"/>
          <w:szCs w:val="21"/>
        </w:rPr>
        <w:t xml:space="preserve">：人民币</w:t>
      </w:r>
      <w:r>
        <w:rPr>
          <w:rFonts w:hint="eastAsia" w:ascii="宋体" w:hAnsi="宋体" w:eastAsia="宋体"/>
          <w:szCs w:val="21"/>
          <w:u w:val="single"/>
        </w:rPr>
        <w:t xml:space="preserve">              </w:t>
      </w:r>
      <w:r>
        <w:rPr>
          <w:rFonts w:hint="eastAsia" w:ascii="宋体" w:hAnsi="宋体" w:eastAsia="宋体"/>
          <w:szCs w:val="21"/>
        </w:rPr>
        <w:t xml:space="preserve">元整（￥</w:t>
      </w:r>
      <w:r>
        <w:rPr>
          <w:rFonts w:hint="eastAsia" w:ascii="宋体" w:hAnsi="宋体" w:eastAsia="宋体"/>
          <w:szCs w:val="21"/>
          <w:u w:val="single"/>
        </w:rPr>
        <w:t xml:space="preserve">        </w:t>
      </w:r>
      <w:r>
        <w:rPr>
          <w:rFonts w:hint="eastAsia" w:ascii="宋体" w:hAnsi="宋体" w:eastAsia="宋体"/>
          <w:szCs w:val="21"/>
        </w:rPr>
        <w:t xml:space="preserve">）。以上费用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w:t>
      </w:r>
      <w:r>
        <w:rPr>
          <w:rFonts w:ascii="宋体" w:hAnsi="宋体" w:eastAsia="宋体"/>
          <w:szCs w:val="21"/>
        </w:rPr>
        <w:t xml:space="preserve">合同价款的支付及付款方式：</w:t>
      </w:r>
      <w:r>
        <w:rPr>
          <w:rFonts w:hint="eastAsia" w:ascii="宋体" w:hAnsi="宋体" w:eastAsia="宋体"/>
          <w:szCs w:val="21"/>
        </w:rPr>
        <w:t xml:space="preserve">合同签订后15天内，乙方可以向甲方申请合同金额的10%作为预付款。合同签订后，每三个月支付一次，每期支付金额为=每期保安员费用+每期突发应急处置保安员费用+每期拖车服务费-考核扣款（其中：乙方必须按月支付服务人员的工资，突发应急处置保安员费用和拖车服务费按实际班次和拖车次数按实结算，全年拖车服务费用不超过15万元）。在签订合同时，乙方明确表示无需预付款或者主动要求降低预付款比例的，</w:t>
      </w:r>
      <w:r>
        <w:rPr>
          <w:rFonts w:hint="eastAsia" w:ascii="宋体" w:hAnsi="宋体" w:eastAsia="宋体"/>
          <w:szCs w:val="21"/>
        </w:rPr>
        <w:t xml:space="preserve">以书面方式明确，</w:t>
      </w:r>
      <w:r>
        <w:rPr>
          <w:rFonts w:hint="eastAsia" w:ascii="宋体" w:hAnsi="宋体" w:eastAsia="宋体"/>
          <w:szCs w:val="21"/>
        </w:rPr>
        <w:t xml:space="preserve">甲方可不适用上述关于预付款的规定。具体实施要求</w:t>
      </w:r>
      <w:r>
        <w:rPr>
          <w:rFonts w:hint="eastAsia" w:ascii="宋体" w:hAnsi="宋体" w:eastAsia="宋体"/>
          <w:szCs w:val="21"/>
        </w:rPr>
        <w:t xml:space="preserve">按苏财购</w:t>
      </w:r>
      <w:r>
        <w:rPr>
          <w:rFonts w:hint="eastAsia" w:ascii="宋体" w:hAnsi="宋体" w:eastAsia="宋体"/>
          <w:szCs w:val="21"/>
        </w:rPr>
        <w:t xml:space="preserve">【2020】52号：一、建立政府采购资金预付款制度的相关规定。</w:t>
      </w:r>
      <w:r/>
    </w:p>
    <w:p>
      <w:pPr>
        <w:ind w:firstLine="420"/>
        <w:spacing w:line="360" w:lineRule="auto"/>
        <w:rPr>
          <w:rFonts w:hint="eastAsia" w:ascii="宋体" w:hAnsi="宋体" w:eastAsia="宋体"/>
          <w:bCs/>
          <w:szCs w:val="21"/>
          <w:lang w:val="zh-CN"/>
        </w:rPr>
      </w:pPr>
      <w:r>
        <w:rPr>
          <w:rFonts w:hint="eastAsia" w:ascii="宋体" w:hAnsi="宋体" w:eastAsia="宋体"/>
          <w:bCs/>
          <w:szCs w:val="21"/>
        </w:rPr>
        <w:t xml:space="preserve">3、乙方</w:t>
      </w:r>
      <w:r>
        <w:rPr>
          <w:rFonts w:hint="eastAsia" w:ascii="宋体" w:hAnsi="宋体" w:eastAsia="宋体"/>
          <w:bCs/>
          <w:szCs w:val="21"/>
          <w:lang w:val="zh-CN"/>
        </w:rPr>
        <w:t xml:space="preserve">在实际服务中，</w:t>
      </w:r>
      <w:r>
        <w:rPr>
          <w:rFonts w:hint="eastAsia" w:ascii="宋体" w:hAnsi="宋体" w:eastAsia="宋体"/>
          <w:bCs/>
          <w:szCs w:val="21"/>
          <w:lang w:val="zh-CN"/>
        </w:rPr>
        <w:t xml:space="preserve">若服务</w:t>
      </w:r>
      <w:r>
        <w:rPr>
          <w:rFonts w:hint="eastAsia" w:ascii="宋体" w:hAnsi="宋体" w:eastAsia="宋体"/>
          <w:bCs/>
          <w:szCs w:val="21"/>
          <w:lang w:val="zh-CN"/>
        </w:rPr>
        <w:t xml:space="preserve">期限有增减，按实结算。</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4</w:t>
      </w:r>
      <w:r>
        <w:rPr>
          <w:rFonts w:hint="eastAsia" w:ascii="宋体" w:hAnsi="宋体" w:eastAsia="宋体"/>
          <w:bCs/>
          <w:szCs w:val="21"/>
          <w:lang w:val="zh-CN"/>
        </w:rPr>
        <w:t xml:space="preserve">、根据国家现行税法对甲方征收的与本合同有关的税费均由甲方承担；根据国家现行税法对</w:t>
      </w:r>
      <w:r>
        <w:rPr>
          <w:rFonts w:hint="eastAsia" w:ascii="宋体" w:hAnsi="宋体" w:eastAsia="宋体"/>
          <w:bCs/>
          <w:szCs w:val="21"/>
          <w:lang w:val="zh-CN"/>
        </w:rPr>
        <w:t xml:space="preserve">乙方征收</w:t>
      </w:r>
      <w:r>
        <w:rPr>
          <w:rFonts w:hint="eastAsia" w:ascii="宋体" w:hAnsi="宋体" w:eastAsia="宋体"/>
          <w:bCs/>
          <w:szCs w:val="21"/>
          <w:lang w:val="zh-CN"/>
        </w:rPr>
        <w:t xml:space="preserve">的与本合同有关的一切税费均由乙方承担。</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5</w:t>
      </w:r>
      <w:r>
        <w:rPr>
          <w:rFonts w:ascii="宋体" w:hAnsi="宋体" w:eastAsia="宋体"/>
          <w:bCs/>
          <w:szCs w:val="21"/>
        </w:rPr>
        <w:t xml:space="preserve">、甲方支付此项费用</w:t>
      </w:r>
      <w:r>
        <w:rPr>
          <w:rFonts w:ascii="宋体" w:hAnsi="宋体" w:eastAsia="宋体"/>
          <w:bCs/>
          <w:szCs w:val="21"/>
        </w:rPr>
        <w:t xml:space="preserve">外不再</w:t>
      </w:r>
      <w:r>
        <w:rPr>
          <w:rFonts w:ascii="宋体" w:hAnsi="宋体" w:eastAsia="宋体"/>
          <w:bCs/>
          <w:szCs w:val="21"/>
        </w:rPr>
        <w:t xml:space="preserve">承担其它任何费用（包括个人），</w:t>
      </w:r>
      <w:r>
        <w:rPr>
          <w:rFonts w:hint="eastAsia" w:ascii="宋体" w:hAnsi="宋体" w:eastAsia="宋体"/>
          <w:bCs/>
          <w:szCs w:val="21"/>
        </w:rPr>
        <w:t xml:space="preserve">服务</w:t>
      </w:r>
      <w:r>
        <w:rPr>
          <w:rFonts w:ascii="宋体" w:hAnsi="宋体" w:eastAsia="宋体"/>
          <w:bCs/>
          <w:szCs w:val="21"/>
        </w:rPr>
        <w:t xml:space="preserve">人员的薪金、福利、休假日补贴等由乙方付给，与甲方无关。</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6</w:t>
      </w:r>
      <w:r>
        <w:rPr>
          <w:rFonts w:ascii="宋体" w:hAnsi="宋体" w:eastAsia="宋体"/>
          <w:bCs/>
          <w:szCs w:val="21"/>
        </w:rPr>
        <w:t xml:space="preserve">、确因甲方工作需要，乙方应无条件配合甲方完成一些突击工作。如：安排</w:t>
      </w:r>
      <w:r>
        <w:rPr>
          <w:rFonts w:hint="eastAsia" w:ascii="宋体" w:hAnsi="宋体" w:eastAsia="宋体"/>
          <w:bCs/>
          <w:szCs w:val="21"/>
        </w:rPr>
        <w:t xml:space="preserve">服务</w:t>
      </w:r>
      <w:r>
        <w:rPr>
          <w:rFonts w:ascii="宋体" w:hAnsi="宋体" w:eastAsia="宋体"/>
          <w:bCs/>
          <w:szCs w:val="21"/>
        </w:rPr>
        <w:t xml:space="preserve">人员（内部）临时加班</w:t>
      </w:r>
      <w:r>
        <w:rPr>
          <w:rFonts w:hint="eastAsia" w:ascii="宋体" w:hAnsi="宋体" w:eastAsia="宋体"/>
          <w:bCs/>
          <w:szCs w:val="21"/>
        </w:rPr>
        <w:t xml:space="preserve">等</w:t>
      </w:r>
      <w:r>
        <w:rPr>
          <w:rFonts w:ascii="宋体" w:hAnsi="宋体" w:eastAsia="宋体"/>
          <w:bCs/>
          <w:szCs w:val="21"/>
        </w:rPr>
        <w:t xml:space="preserve">。</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四、其它约定</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1、完成该项工作所需的人员薪资不得低于最低基本工资。</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2、本项目需乙方根据相关法律法规，自行办理政府补贴，政府补贴返还项由中标单位先垫付资金。</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3、若乙方在服务管理期间，违反下列规定将被解除服务合同：</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（1）将承包的管理服务转包他人；</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（2）乙方在履行合同期间，所提供的服务连续两个月考核得分不满60分的。</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（3）未按照国家劳动法规定聘用服务人员。</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（4）人员薪资低于苏州市最低基本工资标准。</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五、乙方应承担以下责任：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1、乙方及乙方工作人员遵守采购单位现场的一切规章制度，文明上岗；</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乙方负责管理所有乙方的工作人员，乙方应经常对员工进行岗位职责和安全教育，加强岗位责任考核。因管理不当、违规操作发生设备损坏、被盗等安全事故对采购人造成一定损失的，乙方需承担相应的赔偿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3、因乙方管理不善，造成其工作范围内的设施、设备等损坏的，甲方有权要求乙方负责赔偿损失，情节严重的可终止合同甚至诉诸法律；</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4、乙方承担服务期间乙方相关人员的安全责任，若发生人身伤害等工伤事故，责任由乙方自负，与甲方无涉；</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5、乙方若利用职务之便，收取甚至索要客商好处的，</w:t>
      </w:r>
      <w:r>
        <w:rPr>
          <w:rFonts w:hint="eastAsia"/>
        </w:rPr>
        <w:t xml:space="preserve">经甲方核实，甲方有权要求乙方承担不少于</w:t>
      </w:r>
      <w:r>
        <w:rPr>
          <w:rFonts w:hint="eastAsia"/>
        </w:rPr>
        <w:t xml:space="preserve">1</w:t>
      </w:r>
      <w:r>
        <w:rPr>
          <w:rFonts w:hint="eastAsia"/>
        </w:rPr>
        <w:t xml:space="preserve">万元的违约金</w:t>
      </w:r>
      <w:r>
        <w:rPr>
          <w:rFonts w:hint="eastAsia" w:ascii="宋体" w:hAnsi="宋体" w:eastAsia="宋体" w:cs="宋体"/>
          <w:szCs w:val="21"/>
        </w:rPr>
        <w:t xml:space="preserve">，情节严重的可终止合同甚至诉诸法律。</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6、乙方应保持在服务过程中服务人员及人数相对稳定，一个月内服务人员的变动人数不能超过三名。</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7、本项目下乙方提供的人员均为乙方自行聘请，与甲方不存在雇佣或劳动关系。乙方应为工作人员提供必要的劳动保护条件。乙方人员在工作时发生伤亡等安全事故，其一切责任由乙方承担，甲方不承担任何责任。</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六、合同的生效</w:t>
      </w:r>
      <w:r/>
    </w:p>
    <w:p>
      <w:pPr>
        <w:ind w:firstLine="48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本合同在双方签字盖章，并经合同备案后生效。</w:t>
      </w:r>
      <w:r/>
    </w:p>
    <w:p>
      <w:pPr>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七、违约责任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2.在合同生效后，甲方无故要求取消此次服务的，应向乙方偿付合同总价款的5%作为违约金，违约金不足以补偿损失的，乙方有权要求甲方补足。</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乙方不能正常提供服务（逾期超过十五天视为不能提供）从而影响甲方市容市貌提升工作的，应向甲方偿付合同总价款5%的违约金，违约金不足以补偿损失的，甲方有权要求乙方补足。同时甲方有权要求乙方承担因此造成的全部损失。</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4.因不可抗力不能履行合同的，根据不可抗力的影响，部分或者全部免除责任。但合同一方迟延履行后发生不可抗力的，不能免除责任。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5.合同一方因不可抗力不能履行合同的，应及时通知对方，以减轻可能给对方造成的损失，并应当在合理期限内提供证明。</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八、合同的解除和转让</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1.因不可抗力致使不能实现合同目的，合同双方有权解除合同；因合同一方违约导致合同不能履行的，另一方有权解除合同。</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3.合同的部分和全部都不得转让。</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九、争议处理</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合同履行过程中发生争议的，双方可以通过友好协商或调解解决；不愿协商、调解或者协商、调解不成的，可向项目所在地法院提起诉讼。</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十、附则</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1.合同份数</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bCs/>
          <w:szCs w:val="21"/>
        </w:rPr>
        <w:t xml:space="preserve">六份，甲乙双方各执贰份、代理公司执一份，财政执一份</w:t>
      </w:r>
      <w:r>
        <w:rPr>
          <w:rFonts w:hint="eastAsia" w:ascii="宋体" w:hAnsi="宋体" w:eastAsia="宋体" w:cs="宋体"/>
          <w:szCs w:val="21"/>
        </w:rPr>
        <w:t xml:space="preserve">。</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2.未尽事宜</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本合同未尽事宜应按《中华人民共和国民典法》以及其他相关法律、法规之规定解释。</w:t>
      </w:r>
      <w:r/>
    </w:p>
    <w:p>
      <w:pPr>
        <w:jc w:val="left"/>
        <w:spacing w:line="360" w:lineRule="auto"/>
        <w:widowControl/>
        <w:tabs>
          <w:tab w:val="left" w:pos="5250" w:leader="none"/>
        </w:tabs>
        <w:rPr>
          <w:rFonts w:ascii="Times New Roman" w:hAnsi="Times New Roman" w:eastAsia="宋体" w:cs="宋体"/>
          <w:szCs w:val="21"/>
        </w:rPr>
      </w:pPr>
      <w:r>
        <w:rPr>
          <w:rFonts w:ascii="Times New Roman" w:hAnsi="Times New Roman" w:eastAsia="宋体" w:cs="宋体"/>
          <w:szCs w:val="21"/>
        </w:rPr>
      </w:r>
      <w:r/>
    </w:p>
    <w:p>
      <w:pPr>
        <w:ind w:firstLine="420"/>
        <w:jc w:val="left"/>
        <w:spacing w:line="360" w:lineRule="auto"/>
        <w:widowControl/>
        <w:tabs>
          <w:tab w:val="left" w:pos="540" w:leader="none"/>
        </w:tabs>
        <w:rPr>
          <w:rFonts w:ascii="Times New Roman" w:hAnsi="Times New Roman" w:eastAsia="宋体" w:cs="Times New Roman"/>
          <w:szCs w:val="21"/>
        </w:rPr>
      </w:pPr>
      <w:r>
        <w:rPr>
          <w:rFonts w:ascii="Times New Roman" w:hAnsi="Times New Roman" w:eastAsia="宋体" w:cs="Times New Roman"/>
          <w:szCs w:val="21"/>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spacing w:line="360" w:lineRule="auto"/>
        <w:widowControl/>
        <w:rPr>
          <w:rFonts w:ascii="宋体" w:hAnsi="Times New Roman" w:eastAsia="宋体" w:cs="Times New Roman"/>
          <w:szCs w:val="20"/>
        </w:rPr>
      </w:pPr>
      <w:r>
        <w:rPr>
          <w:rFonts w:ascii="宋体" w:hAnsi="Times New Roman" w:eastAsia="宋体" w:cs="Times New Roman"/>
          <w:szCs w:val="20"/>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spacing w:line="260" w:lineRule="exact"/>
        <w:rPr>
          <w:rFonts w:hint="eastAsia" w:ascii="宋体" w:hAnsi="宋体" w:eastAsia="宋体" w:cs="宋体"/>
          <w:szCs w:val="21"/>
        </w:rPr>
      </w:pPr>
      <w:r>
        <w:rPr>
          <w:rFonts w:hint="eastAsia" w:ascii="宋体" w:hAnsi="宋体" w:eastAsia="宋体" w:cs="宋体"/>
          <w:szCs w:val="21"/>
        </w:rPr>
        <w:t xml:space="preserve">附件</w:t>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甪直镇区市容市貌配套提升服务考核评分细则</w:t>
      </w:r>
      <w:r/>
    </w:p>
    <w:tbl>
      <w:tblPr>
        <w:tblStyle w:val="767"/>
        <w:tblW w:w="10207" w:type="dxa"/>
        <w:jc w:val="center"/>
        <w:tblLook w:val="04A0" w:firstRow="1" w:lastRow="0" w:firstColumn="1" w:lastColumn="0" w:noHBand="0" w:noVBand="1"/>
      </w:tblPr>
      <w:tblGrid>
        <w:gridCol w:w="1254"/>
        <w:gridCol w:w="3844"/>
        <w:gridCol w:w="752"/>
        <w:gridCol w:w="3501"/>
        <w:gridCol w:w="856"/>
      </w:tblGrid>
      <w:tr>
        <w:trPr>
          <w:jc w:val="center"/>
          <w:trHeight w:val="531"/>
        </w:trPr>
        <w:tc>
          <w:tcPr>
            <w:tcW w:w="1254" w:type="dxa"/>
            <w:vAlign w:val="center"/>
            <w:textDirection w:val="lrTb"/>
            <w:noWrap w:val="false"/>
          </w:tcPr>
          <w:p>
            <w:pPr>
              <w:jc w:val="cente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检查项目</w:t>
            </w:r>
            <w:r/>
          </w:p>
        </w:tc>
        <w:tc>
          <w:tcPr>
            <w:tcW w:w="3844" w:type="dxa"/>
            <w:vAlign w:val="center"/>
            <w:textDirection w:val="lrTb"/>
            <w:noWrap w:val="false"/>
          </w:tcPr>
          <w:p>
            <w:pPr>
              <w:jc w:val="cente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检查内容</w:t>
            </w:r>
            <w:r/>
          </w:p>
        </w:tc>
        <w:tc>
          <w:tcPr>
            <w:tcW w:w="752" w:type="dxa"/>
            <w:vAlign w:val="center"/>
            <w:textDirection w:val="lrTb"/>
            <w:noWrap w:val="false"/>
          </w:tcPr>
          <w:p>
            <w:pPr>
              <w:jc w:val="cente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分值</w:t>
            </w:r>
            <w:r/>
          </w:p>
        </w:tc>
        <w:tc>
          <w:tcPr>
            <w:tcW w:w="3501" w:type="dxa"/>
            <w:vAlign w:val="center"/>
            <w:textDirection w:val="lrTb"/>
            <w:noWrap w:val="false"/>
          </w:tcPr>
          <w:p>
            <w:pPr>
              <w:jc w:val="cente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扣分标准</w:t>
            </w:r>
            <w:r/>
          </w:p>
        </w:tc>
        <w:tc>
          <w:tcPr>
            <w:tcW w:w="856" w:type="dxa"/>
            <w:vAlign w:val="center"/>
            <w:textDirection w:val="lrTb"/>
            <w:noWrap w:val="false"/>
          </w:tcPr>
          <w:p>
            <w:pPr>
              <w:jc w:val="cente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得分</w:t>
            </w:r>
            <w:r/>
          </w:p>
        </w:tc>
      </w:tr>
      <w:tr>
        <w:trPr>
          <w:jc w:val="center"/>
          <w:trHeight w:val="1008"/>
        </w:trPr>
        <w:tc>
          <w:tcPr>
            <w:tcW w:w="1254" w:type="dxa"/>
            <w:vAlign w:val="center"/>
            <w:vMerge w:val="restart"/>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t xml:space="preserve">组织管理</w:t>
            </w:r>
            <w:r/>
          </w:p>
          <w:p>
            <w:pPr>
              <w:jc w:val="center"/>
              <w:spacing w:line="360" w:lineRule="auto"/>
              <w:rPr>
                <w:rFonts w:hint="eastAsia" w:ascii="宋体" w:hAnsi="宋体" w:eastAsia="宋体" w:cs="仿宋_GB2312"/>
                <w:b/>
                <w:sz w:val="22"/>
              </w:rPr>
            </w:pPr>
            <w:r>
              <w:rPr>
                <w:rFonts w:hint="eastAsia" w:ascii="宋体" w:hAnsi="宋体" w:eastAsia="宋体" w:cs="仿宋_GB2312"/>
                <w:b/>
                <w:sz w:val="22"/>
              </w:rPr>
              <w:t xml:space="preserve">（20）</w:t>
            </w:r>
            <w:r/>
          </w:p>
          <w:p>
            <w:pPr>
              <w:jc w:val="center"/>
              <w:spacing w:line="360" w:lineRule="auto"/>
              <w:rPr>
                <w:rFonts w:hint="eastAsia" w:ascii="宋体" w:hAnsi="宋体" w:eastAsia="宋体" w:cs="仿宋_GB2312"/>
                <w:b/>
                <w:sz w:val="22"/>
              </w:rPr>
            </w:pPr>
            <w:r>
              <w:rPr>
                <w:rFonts w:hint="eastAsia" w:ascii="宋体" w:hAnsi="宋体" w:eastAsia="宋体" w:cs="仿宋_GB2312"/>
                <w:b/>
                <w:sz w:val="22"/>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第三</w:t>
            </w:r>
            <w:r>
              <w:rPr>
                <w:rFonts w:hint="eastAsia" w:ascii="宋体" w:hAnsi="宋体" w:eastAsia="宋体" w:cs="宋体"/>
                <w:szCs w:val="21"/>
              </w:rPr>
              <w:t xml:space="preserve">方服务</w:t>
            </w:r>
            <w:r>
              <w:rPr>
                <w:rFonts w:hint="eastAsia" w:ascii="宋体" w:hAnsi="宋体" w:eastAsia="宋体" w:cs="宋体"/>
                <w:szCs w:val="21"/>
              </w:rPr>
              <w:t xml:space="preserve">人员统一服装、标志整齐，执勤时</w:t>
            </w:r>
            <w:r>
              <w:rPr>
                <w:rFonts w:hint="eastAsia" w:ascii="宋体" w:hAnsi="宋体" w:eastAsia="宋体" w:cs="宋体"/>
                <w:szCs w:val="21"/>
              </w:rPr>
              <w:t xml:space="preserve">必须着</w:t>
            </w:r>
            <w:r>
              <w:rPr>
                <w:rFonts w:hint="eastAsia" w:ascii="宋体" w:hAnsi="宋体" w:eastAsia="宋体" w:cs="宋体"/>
                <w:szCs w:val="21"/>
              </w:rPr>
              <w:t xml:space="preserve">制服，不得混穿其它服装，安保器材按标准配置</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服装不统一或不规范的，扣2分；器材未配备齐全的，扣1分</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978"/>
        </w:trPr>
        <w:tc>
          <w:tcPr>
            <w:tcW w:w="1254" w:type="dxa"/>
            <w:vAlign w:val="center"/>
            <w:vMerge w:val="continue"/>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pacing w:val="-11"/>
                <w:szCs w:val="21"/>
              </w:rPr>
              <w:t xml:space="preserve">仪容仪表符合标准，不留长头发、长胡须、长指甲，</w:t>
            </w:r>
            <w:r>
              <w:rPr>
                <w:rFonts w:hint="eastAsia" w:ascii="宋体" w:hAnsi="宋体" w:eastAsia="宋体" w:cs="宋体"/>
                <w:spacing w:val="-11"/>
                <w:szCs w:val="21"/>
              </w:rPr>
              <w:t xml:space="preserve">不</w:t>
            </w:r>
            <w:r>
              <w:rPr>
                <w:rFonts w:hint="eastAsia" w:ascii="宋体" w:hAnsi="宋体" w:eastAsia="宋体" w:cs="宋体"/>
                <w:spacing w:val="-11"/>
                <w:szCs w:val="21"/>
              </w:rPr>
              <w:t xml:space="preserve">染发</w:t>
            </w:r>
            <w:r>
              <w:rPr>
                <w:rFonts w:hint="eastAsia" w:ascii="宋体" w:hAnsi="宋体" w:eastAsia="宋体" w:cs="Times New Roman"/>
                <w:szCs w:val="21"/>
              </w:rPr>
              <w:t xml:space="preserve">（黑色除外）</w:t>
            </w:r>
            <w:r>
              <w:rPr>
                <w:rFonts w:hint="eastAsia" w:ascii="宋体" w:hAnsi="宋体" w:eastAsia="宋体" w:cs="宋体"/>
                <w:spacing w:val="-11"/>
                <w:szCs w:val="21"/>
              </w:rPr>
              <w:t xml:space="preserve">；</w:t>
            </w:r>
            <w:r>
              <w:rPr>
                <w:rFonts w:hint="eastAsia" w:ascii="宋体" w:hAnsi="宋体" w:eastAsia="宋体" w:cs="宋体"/>
                <w:szCs w:val="21"/>
              </w:rPr>
              <w:t xml:space="preserve">不迟到、不早退、</w:t>
            </w:r>
            <w:r>
              <w:rPr>
                <w:rFonts w:hint="eastAsia" w:ascii="宋体" w:hAnsi="宋体" w:eastAsia="宋体" w:cs="宋体"/>
                <w:szCs w:val="21"/>
              </w:rPr>
              <w:t xml:space="preserve">不</w:t>
            </w:r>
            <w:r>
              <w:rPr>
                <w:rFonts w:hint="eastAsia" w:ascii="宋体" w:hAnsi="宋体" w:eastAsia="宋体" w:cs="宋体"/>
                <w:szCs w:val="21"/>
              </w:rPr>
              <w:t xml:space="preserve">脱岗</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形象不符合标准的，每发现1起，扣1分；迟早、早退每起扣1分，脱岗每起扣2分（不封顶）</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978"/>
        </w:trPr>
        <w:tc>
          <w:tcPr>
            <w:tcW w:w="1254" w:type="dxa"/>
            <w:vAlign w:val="center"/>
            <w:vMerge w:val="continue"/>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设有集中统一办公点，协管各项记录完整清楚，包括考勤签到记录、交接班记录、执勤记录、巡查检查记录</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无统一办公点的，扣2分；考勤记录缺失的，扣2分，其余记录缺失的，每项扣1分</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1261"/>
        </w:trPr>
        <w:tc>
          <w:tcPr>
            <w:tcW w:w="1254" w:type="dxa"/>
            <w:vAlign w:val="center"/>
            <w:vMerge w:val="continue"/>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明确工作人员的责任区域，分片包干，实行定人、定岗、定时，定区域、定标准管理；保障服务期间按规定人数到岗</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未明确责任区域的扣1分；不符合标准管理相关要求的扣1分；每少1人扣1分（不封顶）</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712"/>
        </w:trPr>
        <w:tc>
          <w:tcPr>
            <w:tcW w:w="1254" w:type="dxa"/>
            <w:vAlign w:val="center"/>
            <w:vMerge w:val="continue"/>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与员工签订用工合同，合法用工，不拖欠工资及补贴</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未签订合同的扣1分，拖欠员工工资的扣1分/人（不封顶）</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1262"/>
        </w:trPr>
        <w:tc>
          <w:tcPr>
            <w:tcW w:w="1254" w:type="dxa"/>
            <w:vAlign w:val="center"/>
            <w:textDirection w:val="lrTb"/>
            <w:noWrap w:val="false"/>
          </w:tcPr>
          <w:p>
            <w:pPr>
              <w:jc w:val="center"/>
              <w:spacing w:line="360" w:lineRule="auto"/>
              <w:widowControl/>
              <w:rPr>
                <w:rFonts w:hint="eastAsia" w:ascii="宋体" w:hAnsi="宋体" w:eastAsia="宋体" w:cs="仿宋_GB2312"/>
                <w:b/>
                <w:sz w:val="22"/>
              </w:rPr>
            </w:pPr>
            <w:r>
              <w:rPr>
                <w:rFonts w:hint="eastAsia" w:ascii="宋体" w:hAnsi="宋体" w:eastAsia="宋体" w:cs="仿宋_GB2312"/>
                <w:b/>
                <w:sz w:val="22"/>
              </w:rPr>
              <w:t xml:space="preserve">日常服务</w:t>
            </w:r>
            <w:r/>
          </w:p>
          <w:p>
            <w:pPr>
              <w:jc w:val="center"/>
              <w:spacing w:line="360" w:lineRule="auto"/>
              <w:widowControl/>
              <w:rPr>
                <w:rFonts w:hint="eastAsia" w:ascii="宋体" w:hAnsi="宋体" w:eastAsia="宋体" w:cs="仿宋_GB2312"/>
                <w:b/>
                <w:sz w:val="22"/>
              </w:rPr>
            </w:pPr>
            <w:r>
              <w:rPr>
                <w:rFonts w:hint="eastAsia" w:ascii="宋体" w:hAnsi="宋体" w:eastAsia="宋体" w:cs="仿宋_GB2312"/>
                <w:b/>
                <w:sz w:val="22"/>
              </w:rPr>
              <w:t xml:space="preserve">（60）</w:t>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协管区域内发现马路设摊、占道经营、私设广告、乱堆乱放、乱涂乱画、道板违停、乱搭乱建</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60</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发现马路设摊、私设广告、道板违停、乱搭乱建未及时制止或上报的，每起扣3分；未妥善处理占道经营、乱堆放、乱涂画的，每起扣1分。</w:t>
            </w:r>
            <w:r/>
          </w:p>
        </w:tc>
        <w:tc>
          <w:tcPr>
            <w:tcW w:w="856" w:type="dxa"/>
            <w:vAlign w:val="center"/>
            <w:textDirection w:val="lrTb"/>
            <w:noWrap w:val="false"/>
          </w:tcPr>
          <w:p>
            <w:pP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1279"/>
        </w:trPr>
        <w:tc>
          <w:tcPr>
            <w:tcW w:w="1254" w:type="dxa"/>
            <w:vAlign w:val="center"/>
            <w:vMerge w:val="restart"/>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t xml:space="preserve">拖车清障</w:t>
            </w:r>
            <w:r/>
          </w:p>
          <w:p>
            <w:pPr>
              <w:jc w:val="center"/>
              <w:spacing w:line="360" w:lineRule="auto"/>
              <w:rPr>
                <w:rFonts w:hint="eastAsia" w:ascii="宋体" w:hAnsi="宋体" w:eastAsia="宋体" w:cs="仿宋_GB2312"/>
                <w:b/>
                <w:sz w:val="22"/>
              </w:rPr>
            </w:pPr>
            <w:r>
              <w:rPr>
                <w:rFonts w:hint="eastAsia" w:ascii="宋体" w:hAnsi="宋体" w:eastAsia="宋体" w:cs="仿宋_GB2312"/>
                <w:b/>
                <w:sz w:val="22"/>
              </w:rPr>
              <w:t xml:space="preserve">（20）</w:t>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规定时间内到达现场，协助安全拖离违停违规车辆至指定区域</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未在规定时间到场的，每起扣1分；未拖离至指定区域的，每起扣2分；第三方原因造成被拖离车辆有损坏的，每起扣2分，并自行承担赔偿费用</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1114"/>
        </w:trPr>
        <w:tc>
          <w:tcPr>
            <w:tcW w:w="1254" w:type="dxa"/>
            <w:vAlign w:val="center"/>
            <w:vMerge w:val="continue"/>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拖车驾驶员持证上岗，不得饮酒、</w:t>
            </w:r>
            <w:r>
              <w:rPr>
                <w:rFonts w:hint="eastAsia" w:ascii="宋体" w:hAnsi="宋体" w:eastAsia="宋体" w:cs="宋体"/>
                <w:szCs w:val="21"/>
              </w:rPr>
              <w:t xml:space="preserve">醉驾或</w:t>
            </w:r>
            <w:r>
              <w:rPr>
                <w:rFonts w:hint="eastAsia" w:ascii="宋体" w:hAnsi="宋体" w:eastAsia="宋体" w:cs="宋体"/>
                <w:szCs w:val="21"/>
              </w:rPr>
              <w:t xml:space="preserve">无故收费</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无证上岗的，扣5分；酒驾、</w:t>
            </w:r>
            <w:r>
              <w:rPr>
                <w:rFonts w:hint="eastAsia" w:ascii="宋体" w:hAnsi="宋体" w:eastAsia="宋体" w:cs="宋体"/>
                <w:szCs w:val="21"/>
              </w:rPr>
              <w:t xml:space="preserve">醉驾或</w:t>
            </w:r>
            <w:r>
              <w:rPr>
                <w:rFonts w:hint="eastAsia" w:ascii="宋体" w:hAnsi="宋体" w:eastAsia="宋体" w:cs="宋体"/>
                <w:szCs w:val="21"/>
              </w:rPr>
              <w:t xml:space="preserve">乱收费的，扣5分，造成其他安全事故的，第三方承担责任并赔偿</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988"/>
        </w:trPr>
        <w:tc>
          <w:tcPr>
            <w:tcW w:w="1254" w:type="dxa"/>
            <w:vAlign w:val="center"/>
            <w:vMerge w:val="restart"/>
            <w:textDirection w:val="lrTb"/>
            <w:noWrap w:val="false"/>
          </w:tcPr>
          <w:p>
            <w:pPr>
              <w:jc w:val="center"/>
              <w:spacing w:line="360" w:lineRule="auto"/>
              <w:rPr>
                <w:rFonts w:hint="eastAsia" w:ascii="宋体" w:hAnsi="宋体" w:eastAsia="宋体" w:cs="仿宋_GB2312"/>
                <w:b/>
                <w:sz w:val="22"/>
              </w:rPr>
            </w:pPr>
            <w:r>
              <w:rPr>
                <w:rFonts w:hint="eastAsia" w:ascii="宋体" w:hAnsi="宋体" w:eastAsia="宋体" w:cs="仿宋_GB2312"/>
                <w:b/>
                <w:sz w:val="22"/>
              </w:rPr>
              <w:t xml:space="preserve">单列项</w:t>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第三方人员不服从指挥调度或消极怠工的；发现有吃拿卡要的</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每起直接扣除当月服务费用，标准为500元/次，影响恶劣的需调换人员</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832"/>
        </w:trPr>
        <w:tc>
          <w:tcPr>
            <w:tcW w:w="1254" w:type="dxa"/>
            <w:vAlign w:val="center"/>
            <w:vMerge w:val="continue"/>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上级部门或各级领导发现作风形象差，不认真履职的；被通报批评的</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每起直接扣除当月服务费用，标准为1000元/次</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985"/>
        </w:trPr>
        <w:tc>
          <w:tcPr>
            <w:tcW w:w="1254" w:type="dxa"/>
            <w:vAlign w:val="center"/>
            <w:vMerge w:val="continue"/>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tc>
        <w:tc>
          <w:tcPr>
            <w:tcW w:w="3844"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群众线下或电话、</w:t>
            </w:r>
            <w:r>
              <w:rPr>
                <w:rFonts w:hint="eastAsia" w:ascii="宋体" w:hAnsi="宋体" w:eastAsia="宋体" w:cs="宋体"/>
                <w:szCs w:val="21"/>
              </w:rPr>
              <w:t xml:space="preserve">寒山闻钟</w:t>
            </w:r>
            <w:r>
              <w:rPr>
                <w:rFonts w:hint="eastAsia" w:ascii="宋体" w:hAnsi="宋体" w:eastAsia="宋体" w:cs="宋体"/>
                <w:szCs w:val="21"/>
              </w:rPr>
              <w:t xml:space="preserve">、12345等线上投诉平台，以及各类自媒体平台曝光，核实属实的</w:t>
            </w:r>
            <w:r/>
          </w:p>
        </w:tc>
        <w:tc>
          <w:tcPr>
            <w:tcW w:w="75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3501"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根据影响程度大小，每起扣除当月服务方500-5000元不等</w:t>
            </w:r>
            <w:r/>
          </w:p>
        </w:tc>
        <w:tc>
          <w:tcPr>
            <w:tcW w:w="856" w:type="dxa"/>
            <w:vAlign w:val="center"/>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702"/>
        </w:trPr>
        <w:tc>
          <w:tcPr>
            <w:gridSpan w:val="5"/>
            <w:tcW w:w="10207" w:type="dxa"/>
            <w:vAlign w:val="center"/>
            <w:textDirection w:val="lrTb"/>
            <w:noWrap w:val="false"/>
          </w:tcPr>
          <w:p>
            <w:pPr>
              <w:jc w:val="cente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综合得分：</w:t>
            </w:r>
            <w:r/>
          </w:p>
        </w:tc>
      </w:tr>
    </w:tbl>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（1）采购人将派指定负责人对中标单位每月考核一次，满分100分；</w:t>
      </w:r>
      <w:r>
        <w:rPr>
          <w:rFonts w:hint="eastAsia" w:ascii="宋体" w:hAnsi="宋体" w:eastAsia="宋体" w:cs="宋体"/>
          <w:bCs/>
          <w:szCs w:val="21"/>
        </w:rPr>
        <w:t xml:space="preserve"> </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（2）当月得分90-100分的，且无其他单独扣款的，正常支付当月服务费用；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（3）当月得分85-89分的，对人员及所在公司提出书面整改要求，责令其改正错误，并要求其写出书面整改报告</w:t>
      </w:r>
      <w:r>
        <w:rPr>
          <w:rFonts w:hint="eastAsia" w:ascii="宋体" w:hAnsi="宋体" w:eastAsia="宋体" w:cs="宋体"/>
          <w:bCs/>
          <w:szCs w:val="21"/>
        </w:rPr>
        <w:t xml:space="preserve">，当月服务费</w:t>
      </w:r>
      <w:r>
        <w:rPr>
          <w:rFonts w:hint="eastAsia" w:ascii="宋体" w:hAnsi="宋体" w:eastAsia="宋体" w:cs="宋体"/>
          <w:bCs/>
          <w:szCs w:val="21"/>
        </w:rPr>
        <w:t xml:space="preserve">用</w:t>
      </w:r>
      <w:r>
        <w:rPr>
          <w:rFonts w:hint="eastAsia" w:ascii="宋体" w:hAnsi="宋体" w:eastAsia="宋体" w:cs="宋体"/>
          <w:bCs/>
          <w:szCs w:val="21"/>
        </w:rPr>
        <w:t xml:space="preserve">不扣除</w:t>
      </w:r>
      <w:r>
        <w:rPr>
          <w:rFonts w:hint="eastAsia" w:ascii="宋体" w:hAnsi="宋体" w:eastAsia="宋体" w:cs="宋体"/>
          <w:bCs/>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（4）当月</w:t>
      </w:r>
      <w:r>
        <w:rPr>
          <w:rFonts w:hint="eastAsia" w:ascii="宋体" w:hAnsi="宋体" w:eastAsia="宋体" w:cs="宋体"/>
          <w:szCs w:val="21"/>
        </w:rPr>
        <w:t xml:space="preserve">得分70-84的；或者连续两个月得分85-89分的，应扣除当月</w:t>
      </w:r>
      <w:r>
        <w:rPr>
          <w:rFonts w:hint="eastAsia" w:ascii="宋体" w:hAnsi="宋体" w:eastAsia="宋体" w:cs="宋体"/>
          <w:szCs w:val="21"/>
        </w:rPr>
        <w:t xml:space="preserve">3</w:t>
      </w:r>
      <w:r>
        <w:rPr>
          <w:rFonts w:hint="eastAsia" w:ascii="宋体" w:hAnsi="宋体" w:eastAsia="宋体" w:cs="宋体"/>
          <w:szCs w:val="21"/>
        </w:rPr>
        <w:t xml:space="preserve">%服务费用；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pacing w:val="-6"/>
          <w:szCs w:val="21"/>
        </w:rPr>
        <w:t xml:space="preserve">当月得分60-69的，或者连续两个月得分70-84分的，扣除当月</w:t>
      </w:r>
      <w:r>
        <w:rPr>
          <w:rFonts w:hint="eastAsia" w:ascii="宋体" w:hAnsi="宋体" w:eastAsia="宋体" w:cs="宋体"/>
          <w:spacing w:val="-6"/>
          <w:szCs w:val="21"/>
        </w:rPr>
        <w:t xml:space="preserve">7</w:t>
      </w:r>
      <w:r>
        <w:rPr>
          <w:rFonts w:hint="eastAsia" w:ascii="宋体" w:hAnsi="宋体" w:eastAsia="宋体" w:cs="宋体"/>
          <w:spacing w:val="-6"/>
          <w:szCs w:val="21"/>
        </w:rPr>
        <w:t xml:space="preserve">%服务费用；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（6）当月得分不满60分，扣除当月10%服务费用；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（7）连续两个月得分不满60分的，甲方有权解除合同。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注：</w:t>
      </w:r>
      <w:r/>
    </w:p>
    <w:p>
      <w:pPr>
        <w:ind w:firstLine="420"/>
        <w:jc w:val="left"/>
        <w:spacing w:line="360" w:lineRule="auto"/>
        <w:rPr>
          <w:rFonts w:hint="eastAsia"/>
        </w:rPr>
      </w:pPr>
      <w:r>
        <w:rPr>
          <w:rFonts w:hint="eastAsia" w:ascii="宋体" w:hAnsi="宋体" w:eastAsia="宋体" w:cs="宋体"/>
          <w:szCs w:val="21"/>
        </w:rPr>
        <w:t xml:space="preserve">1.</w:t>
      </w:r>
      <w:r>
        <w:rPr>
          <w:rFonts w:hint="eastAsia"/>
        </w:rPr>
        <w:t xml:space="preserve">未标注（不封顶）的项目扣分不超过相应分值；</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2.考核扣款的计算基数为当月全部服务费用，即</w:t>
      </w:r>
      <w:r>
        <w:rPr>
          <w:rFonts w:hint="eastAsia" w:ascii="宋体" w:hAnsi="宋体" w:eastAsia="宋体"/>
          <w:szCs w:val="21"/>
        </w:rPr>
        <w:t xml:space="preserve">每期保安员费用（保安服务费用/12）+每期突发应急处置保安员费用（按成交单价按实结算）+每期拖车服务费（按成交单价按实结算）三项总和进行相应的百分比扣除。</w:t>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六、磋商响应文件格式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JSZC-320506-SZZT-C2025-0012</w:t>
      </w:r>
      <w:r>
        <w:rPr>
          <w:rFonts w:hint="eastAsia" w:ascii="宋体" w:hAnsi="宋体" w:eastAsia="宋体" w:cs="Times New Roman"/>
          <w:szCs w:val="21"/>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磋商响应承诺书</w:t>
      </w:r>
      <w:r/>
    </w:p>
    <w:p>
      <w:pPr>
        <w:jc w:val="left"/>
        <w:spacing w:line="360" w:lineRule="auto"/>
        <w:widowControl/>
        <w:rPr>
          <w:rFonts w:hint="eastAsia" w:ascii="宋体" w:hAnsi="宋体" w:eastAsia="宋体" w:cs="Times New Roman"/>
          <w:b/>
          <w:bCs/>
          <w:spacing w:val="20"/>
          <w:szCs w:val="21"/>
        </w:rPr>
      </w:pPr>
      <w:r>
        <w:rPr>
          <w:rFonts w:hint="eastAsia" w:ascii="宋体" w:hAnsi="宋体" w:eastAsia="宋体" w:cs="Times New Roman"/>
          <w:b/>
          <w:bCs/>
          <w:spacing w:val="20"/>
          <w:szCs w:val="21"/>
        </w:rPr>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u w:val="single"/>
          <w:lang w:val="zh-CN"/>
        </w:rPr>
        <w:t xml:space="preserve">中</w:t>
      </w:r>
      <w:r>
        <w:rPr>
          <w:rFonts w:hint="eastAsia" w:ascii="宋体" w:hAnsi="宋体" w:eastAsia="宋体" w:cs="Times New Roman"/>
          <w:szCs w:val="21"/>
          <w:u w:val="single"/>
          <w:lang w:val="zh-CN"/>
        </w:rPr>
        <w:t xml:space="preserve">拓工程</w:t>
      </w:r>
      <w:r>
        <w:rPr>
          <w:rFonts w:hint="eastAsia" w:ascii="宋体" w:hAnsi="宋体" w:eastAsia="宋体" w:cs="Times New Roman"/>
          <w:szCs w:val="21"/>
          <w:u w:val="single"/>
          <w:lang w:val="zh-CN"/>
        </w:rPr>
        <w:t xml:space="preserve">咨询（苏州）有限责任公司</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 </w:t>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jc w:val="left"/>
        <w:spacing w:line="360" w:lineRule="auto"/>
        <w:widowControl/>
        <w:tabs>
          <w:tab w:val="left" w:pos="3780" w:leader="none"/>
        </w:tabs>
        <w:rPr>
          <w:rFonts w:hint="eastAsia" w:ascii="宋体" w:hAnsi="宋体" w:eastAsia="宋体" w:cs="Times New Roman"/>
          <w:szCs w:val="21"/>
          <w:lang w:val="zh-CN"/>
        </w:rPr>
      </w:pPr>
      <w:r>
        <w:rPr>
          <w:rFonts w:hint="eastAsia" w:ascii="宋体" w:hAnsi="宋体" w:eastAsia="宋体" w:cs="Times New Roman"/>
          <w:szCs w:val="21"/>
          <w:lang w:val="zh-CN"/>
        </w:rPr>
        <w:t xml:space="preserve">我们收到贵公司</w:t>
      </w:r>
      <w:r>
        <w:rPr>
          <w:rFonts w:hint="eastAsia" w:ascii="宋体" w:hAnsi="宋体" w:eastAsia="宋体" w:cs="Times New Roman"/>
          <w:szCs w:val="21"/>
          <w:u w:val="single"/>
          <w:lang w:val="zh-CN"/>
        </w:rPr>
        <w:t xml:space="preserve">  </w:t>
      </w:r>
      <w:r>
        <w:rPr>
          <w:rFonts w:hint="eastAsia" w:ascii="宋体" w:hAnsi="宋体" w:eastAsia="楷体_GB2312" w:cs="Times New Roman"/>
          <w:szCs w:val="21"/>
          <w:u w:val="single"/>
          <w:lang w:val="zh-CN"/>
        </w:rPr>
        <w:t xml:space="preserve">JSZC-320506-SZZT-C2025-0012</w:t>
      </w:r>
      <w:r>
        <w:rPr>
          <w:rFonts w:hint="eastAsia" w:ascii="宋体" w:hAnsi="宋体" w:eastAsia="宋体" w:cs="Times New Roman"/>
          <w:szCs w:val="21"/>
          <w:lang w:val="zh-CN"/>
        </w:rPr>
        <w:t xml:space="preserve">号磋商文件，经仔细阅读和研究，我们决定参加磋商活动。</w:t>
      </w:r>
      <w:r/>
    </w:p>
    <w:p>
      <w:pPr>
        <w:numPr>
          <w:ilvl w:val="0"/>
          <w:numId w:val="5"/>
        </w:num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愿意按照磋商采购文件的一切要求，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2</w:t>
      </w:r>
      <w:r>
        <w:rPr>
          <w:rFonts w:hint="eastAsia" w:ascii="宋体" w:hAnsi="宋体" w:eastAsia="宋体" w:cs="Times New Roman"/>
          <w:szCs w:val="21"/>
          <w:lang w:val="zh-CN"/>
        </w:rPr>
        <w:t xml:space="preserve">、如果我们的磋商响应文件被接受，我们将严格</w:t>
      </w:r>
      <w:r>
        <w:rPr>
          <w:rFonts w:hint="eastAsia" w:ascii="宋体" w:hAnsi="宋体" w:eastAsia="宋体" w:cs="Times New Roman"/>
          <w:szCs w:val="21"/>
          <w:lang w:val="zh-CN"/>
        </w:rPr>
        <w:t xml:space="preserve">履行磋商</w:t>
      </w:r>
      <w:r>
        <w:rPr>
          <w:rFonts w:hint="eastAsia" w:ascii="宋体" w:hAnsi="宋体" w:eastAsia="宋体" w:cs="Times New Roman"/>
          <w:szCs w:val="21"/>
          <w:lang w:val="zh-CN"/>
        </w:rPr>
        <w:t xml:space="preserve">文件中规定的每一项要求，按期、按质、按量履行合同的义务。</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3</w:t>
      </w:r>
      <w:r>
        <w:rPr>
          <w:rFonts w:hint="eastAsia" w:ascii="宋体" w:hAnsi="宋体" w:eastAsia="宋体" w:cs="Times New Roman"/>
          <w:szCs w:val="21"/>
          <w:lang w:val="zh-CN"/>
        </w:rPr>
        <w:t xml:space="preserve">、我们已</w:t>
      </w:r>
      <w:r>
        <w:rPr>
          <w:rFonts w:ascii="宋体" w:hAnsi="宋体" w:eastAsia="宋体" w:cs="Times New Roman"/>
          <w:szCs w:val="21"/>
          <w:lang w:val="zh-CN"/>
        </w:rPr>
        <w:t xml:space="preserve">详细</w:t>
      </w:r>
      <w:r>
        <w:rPr>
          <w:rFonts w:hint="eastAsia" w:ascii="宋体" w:hAnsi="宋体" w:eastAsia="宋体" w:cs="Times New Roman"/>
          <w:szCs w:val="21"/>
          <w:lang w:val="zh-CN"/>
        </w:rPr>
        <w:t xml:space="preserve">阅读</w:t>
      </w:r>
      <w:r>
        <w:rPr>
          <w:rFonts w:ascii="宋体" w:hAnsi="宋体" w:eastAsia="宋体" w:cs="Times New Roman"/>
          <w:szCs w:val="21"/>
          <w:lang w:val="zh-CN"/>
        </w:rPr>
        <w:t xml:space="preserve">全部</w:t>
      </w:r>
      <w:r>
        <w:rPr>
          <w:rFonts w:hint="eastAsia" w:ascii="宋体" w:hAnsi="宋体" w:eastAsia="宋体" w:cs="Times New Roman"/>
          <w:szCs w:val="21"/>
          <w:lang w:val="zh-CN"/>
        </w:rPr>
        <w:t xml:space="preserve">磋商文件</w:t>
      </w:r>
      <w:r>
        <w:rPr>
          <w:rFonts w:ascii="宋体" w:hAnsi="宋体" w:eastAsia="宋体" w:cs="Times New Roman"/>
          <w:szCs w:val="21"/>
          <w:lang w:val="zh-CN"/>
        </w:rPr>
        <w:t xml:space="preserve">，包括</w:t>
      </w:r>
      <w:r>
        <w:rPr>
          <w:rFonts w:hint="eastAsia" w:ascii="宋体" w:hAnsi="宋体" w:eastAsia="宋体" w:cs="Times New Roman"/>
          <w:szCs w:val="21"/>
          <w:lang w:val="zh-CN"/>
        </w:rPr>
        <w:t xml:space="preserve">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，对磋商文件及更正公告（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）无任何异议。</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4、我们同意按磋商文件中的规定，本响应文件的有效期限自提交响应文件截止时间之日起</w:t>
      </w:r>
      <w:r>
        <w:rPr>
          <w:rFonts w:hint="eastAsia" w:ascii="宋体" w:hAnsi="宋体" w:eastAsia="宋体" w:cs="Times New Roman"/>
          <w:szCs w:val="21"/>
          <w:u w:val="single"/>
          <w:lang w:val="zh-CN"/>
        </w:rPr>
        <w:t xml:space="preserve">  90 </w:t>
      </w:r>
      <w:r>
        <w:rPr>
          <w:rFonts w:hint="eastAsia" w:ascii="宋体" w:hAnsi="宋体" w:eastAsia="宋体" w:cs="Times New Roman"/>
          <w:szCs w:val="21"/>
          <w:lang w:val="zh-CN"/>
        </w:rPr>
        <w:t xml:space="preserve">天。</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6、我们愿意</w:t>
      </w:r>
      <w:r>
        <w:rPr>
          <w:rFonts w:hint="eastAsia" w:ascii="宋体" w:hAnsi="宋体" w:eastAsia="宋体" w:cs="Times New Roman"/>
          <w:szCs w:val="21"/>
          <w:lang w:val="zh-CN"/>
        </w:rPr>
        <w:t xml:space="preserve">遵守磋商</w:t>
      </w:r>
      <w:r>
        <w:rPr>
          <w:rFonts w:hint="eastAsia" w:ascii="宋体" w:hAnsi="宋体" w:eastAsia="宋体" w:cs="Times New Roman"/>
          <w:szCs w:val="21"/>
          <w:lang w:val="zh-CN"/>
        </w:rPr>
        <w:t xml:space="preserve">文件中所列的收费标准。</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8、我们承诺我公司</w:t>
      </w:r>
      <w:r>
        <w:rPr>
          <w:rFonts w:hint="eastAsia" w:ascii="宋体" w:hAnsi="宋体" w:eastAsia="宋体" w:cs="Times New Roman"/>
          <w:szCs w:val="21"/>
          <w:lang w:val="zh-CN"/>
        </w:rPr>
        <w:t xml:space="preserve">符合磋商</w:t>
      </w:r>
      <w:r>
        <w:rPr>
          <w:rFonts w:hint="eastAsia" w:ascii="宋体" w:hAnsi="宋体" w:eastAsia="宋体" w:cs="Times New Roman"/>
          <w:szCs w:val="21"/>
          <w:lang w:val="zh-CN"/>
        </w:rPr>
        <w:t xml:space="preserve">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单位：                             联系人：</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地址：                             邮政编码：</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联系电话：                         传真：</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磋商响应报价表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JSZC-320506-SZZT-C2025-0012号</w:t>
      </w:r>
      <w:r/>
    </w:p>
    <w:p>
      <w:pPr>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磋商响应</w:t>
      </w:r>
      <w:r>
        <w:rPr>
          <w:rFonts w:ascii="宋体" w:hAnsi="宋体" w:eastAsia="宋体" w:cs="Times New Roman"/>
          <w:szCs w:val="21"/>
        </w:rPr>
        <w:t xml:space="preserve">单位（盖章）：</w:t>
      </w:r>
      <w:r>
        <w:rPr>
          <w:rFonts w:ascii="宋体" w:hAnsi="宋体" w:eastAsia="宋体" w:cs="Times New Roman"/>
          <w:szCs w:val="21"/>
          <w:u w:val="single"/>
        </w:rPr>
        <w:t xml:space="preserve">             </w:t>
      </w:r>
      <w:r/>
    </w:p>
    <w:tbl>
      <w:tblPr>
        <w:tblW w:w="8669" w:type="dxa"/>
        <w:tblInd w:w="250" w:type="dxa"/>
        <w:tblLayout w:type="fixed"/>
        <w:tblLook w:val="04A0" w:firstRow="1" w:lastRow="0" w:firstColumn="1" w:lastColumn="0" w:noHBand="0" w:noVBand="1"/>
      </w:tblPr>
      <w:tblGrid>
        <w:gridCol w:w="992"/>
        <w:gridCol w:w="2127"/>
        <w:gridCol w:w="1984"/>
        <w:gridCol w:w="1559"/>
        <w:gridCol w:w="2007"/>
      </w:tblGrid>
      <w:tr>
        <w:trPr>
          <w:cantSplit/>
          <w:trHeight w:val="60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磋商响应报价</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合同履行期限</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trHeight w:val="104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磋商总</w:t>
            </w:r>
            <w:r>
              <w:rPr>
                <w:rFonts w:hint="eastAsia" w:ascii="宋体" w:hAnsi="宋体" w:eastAsia="宋体" w:cs="Times New Roman"/>
                <w:szCs w:val="21"/>
              </w:rPr>
              <w:t xml:space="preserve">报价</w:t>
            </w:r>
            <w:r>
              <w:rPr>
                <w:rFonts w:ascii="宋体" w:hAnsi="宋体" w:eastAsia="宋体" w:cs="Times New Roman"/>
                <w:szCs w:val="21"/>
              </w:rPr>
              <w:t xml:space="preserve">（</w:t>
            </w:r>
            <w:r>
              <w:rPr>
                <w:rFonts w:hint="eastAsia" w:ascii="宋体" w:hAnsi="宋体" w:eastAsia="宋体" w:cs="宋体"/>
                <w:szCs w:val="21"/>
              </w:rPr>
              <w:t xml:space="preserve">元</w:t>
            </w:r>
            <w:r>
              <w:rPr>
                <w:rFonts w:ascii="宋体" w:hAnsi="宋体" w:eastAsia="宋体" w:cs="Times New Roman"/>
                <w:szCs w:val="21"/>
              </w:rPr>
              <w:t xml:space="preserve">）：</w:t>
            </w:r>
            <w:r>
              <w:rPr>
                <w:rFonts w:hint="eastAsia" w:ascii="宋体" w:hAnsi="宋体" w:eastAsia="宋体" w:cs="Times New Roman"/>
                <w:bCs/>
                <w:szCs w:val="21"/>
              </w:rPr>
              <w:t xml:space="preserve">人民币（大写）</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元整；   （¥：</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.00）</w:t>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是否属于小微型企业、监狱企业、残疾人企业：</w:t>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供应商：（公章）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注：上述报价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同时，除非合同条款中另有规定，否则，响应单位所报价格在合同实施期间不因市场变化因素而变动。</w:t>
      </w:r>
      <w:r/>
    </w:p>
    <w:p>
      <w:pPr>
        <w:jc w:val="left"/>
        <w:spacing w:line="360" w:lineRule="auto"/>
        <w:widowControl/>
        <w:rPr>
          <w:rFonts w:hint="eastAsia" w:ascii="宋体" w:hAnsi="宋体" w:eastAsia="宋体" w:cs="宋体"/>
          <w:b/>
          <w:bCs/>
          <w:szCs w:val="21"/>
          <w:lang w:val="zh-CN"/>
        </w:rPr>
      </w:pPr>
      <w:r>
        <w:rPr>
          <w:rFonts w:ascii="宋体" w:hAnsi="宋体" w:eastAsia="宋体" w:cs="Times New Roman"/>
          <w:szCs w:val="21"/>
        </w:rPr>
        <w:br w:type="page" w:clear="all"/>
      </w:r>
      <w:r>
        <w:rPr>
          <w:rFonts w:hint="eastAsia" w:ascii="宋体" w:hAnsi="宋体" w:eastAsia="宋体" w:cs="宋体"/>
          <w:b/>
          <w:bCs/>
          <w:szCs w:val="21"/>
          <w:lang w:val="zh-CN"/>
        </w:rPr>
        <w:t xml:space="preserve">附件4：</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报 价 明 细 表</w:t>
      </w:r>
      <w:r/>
    </w:p>
    <w:p>
      <w:pPr>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项目名称：</w:t>
      </w:r>
      <w:r>
        <w:rPr>
          <w:rFonts w:hint="eastAsia" w:ascii="宋体" w:hAnsi="宋体" w:eastAsia="宋体" w:cs="Times New Roman"/>
          <w:szCs w:val="21"/>
          <w:lang w:val="zh-CN"/>
        </w:rPr>
        <w:t xml:space="preserve">                                        采购</w:t>
      </w:r>
      <w:r>
        <w:rPr>
          <w:rFonts w:ascii="宋体" w:hAnsi="宋体" w:eastAsia="宋体" w:cs="Times New Roman"/>
          <w:szCs w:val="21"/>
          <w:lang w:val="zh-CN"/>
        </w:rPr>
        <w:t xml:space="preserve">编号：</w:t>
      </w:r>
      <w:r>
        <w:rPr>
          <w:rFonts w:hint="eastAsia" w:ascii="宋体" w:hAnsi="宋体" w:eastAsia="宋体" w:cs="Times New Roman"/>
          <w:szCs w:val="21"/>
          <w:lang w:val="zh-CN"/>
        </w:rPr>
        <w:t xml:space="preserve">JSZC-320506-SZZT-C2025-0012</w:t>
      </w:r>
      <w:r/>
    </w:p>
    <w:p>
      <w:pPr>
        <w:jc w:val="left"/>
        <w:spacing w:line="360" w:lineRule="auto"/>
        <w:widowControl/>
        <w:rPr>
          <w:rFonts w:hint="eastAsia" w:ascii="宋体" w:hAnsi="宋体" w:eastAsia="楷体_GB2312" w:cs="宋体"/>
          <w:szCs w:val="21"/>
          <w:lang w:val="zh-CN"/>
        </w:rPr>
      </w:pPr>
      <w:r>
        <w:rPr>
          <w:rFonts w:hint="eastAsia" w:ascii="宋体" w:hAnsi="宋体" w:eastAsia="宋体" w:cs="Times New Roman"/>
          <w:szCs w:val="21"/>
          <w:lang w:val="zh-CN"/>
        </w:rPr>
        <w:t xml:space="preserve">磋商响应单位</w:t>
      </w:r>
      <w:r>
        <w:rPr>
          <w:rFonts w:ascii="宋体" w:hAnsi="宋体" w:eastAsia="宋体" w:cs="Times New Roman"/>
          <w:szCs w:val="21"/>
          <w:lang w:val="zh-CN"/>
        </w:rPr>
        <w:t xml:space="preserve">名称（公章）：</w:t>
      </w:r>
      <w:r>
        <w:rPr>
          <w:rFonts w:ascii="宋体" w:hAnsi="宋体" w:eastAsia="宋体" w:cs="Times New Roman"/>
          <w:szCs w:val="21"/>
          <w:u w:val="single"/>
          <w:lang w:val="zh-CN"/>
        </w:rPr>
        <w:t xml:space="preserve">                      </w:t>
      </w:r>
      <w:r/>
    </w:p>
    <w:tbl>
      <w:tblPr>
        <w:tblW w:w="1020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417"/>
        <w:gridCol w:w="1418"/>
        <w:gridCol w:w="1417"/>
        <w:gridCol w:w="1555"/>
        <w:gridCol w:w="1701"/>
        <w:gridCol w:w="1989"/>
      </w:tblGrid>
      <w:tr>
        <w:trPr>
          <w:jc w:val="center"/>
          <w:trHeight w:val="65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单价</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hint="eastAsia" w:ascii="宋体" w:hAnsi="宋体" w:eastAsia="宋体"/>
                <w:b/>
                <w:szCs w:val="21"/>
              </w:rPr>
            </w:pPr>
            <w:r>
              <w:rPr>
                <w:rFonts w:hint="eastAsia" w:ascii="宋体" w:hAnsi="宋体" w:eastAsia="宋体" w:cs="宋体"/>
                <w:b/>
                <w:szCs w:val="21"/>
              </w:rPr>
              <w:t xml:space="preserve">单价最高限价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总价（元）</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备注</w:t>
            </w:r>
            <w:r/>
          </w:p>
        </w:tc>
      </w:tr>
      <w:tr>
        <w:trPr>
          <w:jc w:val="center"/>
          <w:trHeight w:val="1064"/>
        </w:trPr>
        <w:tc>
          <w:tcPr>
            <w:tcBorders>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Borders>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保安员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19人</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      元/年</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80000元/年</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jc w:val="center"/>
          <w:trHeight w:val="1345"/>
        </w:trPr>
        <w:tc>
          <w:tcPr>
            <w:tcBorders>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tcBorders>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szCs w:val="21"/>
              </w:rPr>
              <w:t xml:space="preserve">突发应急处置保安员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1406.25</w:t>
            </w:r>
            <w:r>
              <w:rPr>
                <w:rFonts w:hint="eastAsia" w:ascii="宋体" w:hAnsi="宋体" w:eastAsia="宋体" w:cs="宋体"/>
                <w:bCs/>
                <w:szCs w:val="21"/>
              </w:rPr>
              <w:t xml:space="preserve">班次</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    元/班次</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t xml:space="preserve">2</w:t>
            </w:r>
            <w:r>
              <w:rPr>
                <w:rFonts w:hint="eastAsia" w:ascii="宋体" w:hAnsi="宋体" w:eastAsia="宋体" w:cs="宋体"/>
                <w:bCs/>
                <w:szCs w:val="21"/>
              </w:rPr>
              <w:t xml:space="preserve">0元/班次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4小时的算半个班次，4-8小时算一个班次</w:t>
            </w:r>
            <w:r/>
          </w:p>
        </w:tc>
      </w:tr>
      <w:tr>
        <w:trPr>
          <w:jc w:val="center"/>
          <w:trHeight w:val="111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szCs w:val="21"/>
              </w:rPr>
              <w:t xml:space="preserve">拖车服务费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500次</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      元/次</w:t>
            </w:r>
            <w:r/>
          </w:p>
        </w:tc>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300元/次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ind w:firstLine="31"/>
              <w:jc w:val="center"/>
              <w:spacing w:line="360" w:lineRule="auto"/>
              <w:rPr>
                <w:rFonts w:hint="eastAsia" w:ascii="宋体" w:hAnsi="宋体" w:eastAsia="宋体" w:cs="宋体"/>
                <w:bCs/>
                <w:szCs w:val="21"/>
              </w:rPr>
            </w:pPr>
            <w:r>
              <w:rPr>
                <w:rFonts w:hint="eastAsia" w:ascii="宋体" w:hAnsi="宋体" w:eastAsia="宋体" w:cs="宋体"/>
                <w:bCs/>
                <w:szCs w:val="21"/>
              </w:rPr>
            </w:r>
            <w:r/>
          </w:p>
          <w:p>
            <w:pPr>
              <w:pStyle w:val="737"/>
              <w:rPr>
                <w:rFonts w:hint="eastAsia" w:ascii="宋体" w:hAnsi="宋体" w:cs="宋体"/>
                <w:bCs/>
                <w:sz w:val="21"/>
                <w:szCs w:val="21"/>
              </w:rPr>
            </w:pPr>
            <w:r>
              <w:rPr>
                <w:rFonts w:hint="eastAsia" w:ascii="宋体" w:hAnsi="宋体" w:cs="宋体"/>
                <w:bCs/>
                <w:sz w:val="21"/>
                <w:szCs w:val="21"/>
              </w:rPr>
            </w:r>
            <w:r/>
          </w:p>
        </w:tc>
      </w:tr>
      <w:tr>
        <w:trPr>
          <w:jc w:val="center"/>
          <w:trHeight w:val="86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gridSpan w:val="6"/>
            <w:tcBorders>
              <w:top w:val="single" w:color="auto" w:sz="4" w:space="0"/>
              <w:left w:val="single" w:color="auto" w:sz="4" w:space="0"/>
              <w:bottom w:val="single" w:color="auto" w:sz="4" w:space="0"/>
              <w:right w:val="single" w:color="auto" w:sz="4" w:space="0"/>
            </w:tcBorders>
            <w:tcW w:w="9497" w:type="dxa"/>
            <w:vAlign w:val="center"/>
            <w:textDirection w:val="lrTb"/>
            <w:noWrap w:val="false"/>
          </w:tcPr>
          <w:p>
            <w:pPr>
              <w:pStyle w:val="737"/>
              <w:rPr>
                <w:rFonts w:hint="eastAsia" w:ascii="宋体" w:hAnsi="宋体"/>
                <w:sz w:val="21"/>
                <w:szCs w:val="21"/>
              </w:rPr>
            </w:pPr>
            <w:r>
              <w:rPr>
                <w:rFonts w:hint="eastAsia" w:ascii="宋体" w:hAnsi="宋体" w:cs="宋体"/>
                <w:b/>
                <w:bCs/>
                <w:sz w:val="21"/>
                <w:szCs w:val="21"/>
              </w:rPr>
              <w:t xml:space="preserve">合计：</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明细表”合计金额应当与“</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表”（磋商总价）相等，如不相等，磋商总价以“</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2、人员工资包含保险、福利、高温费以及设备等全部后续可能产生的费用。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bookmarkStart w:id="39" w:name="_Hlk180505381"/>
      <w:r>
        <w:rPr>
          <w:rFonts w:hint="eastAsia" w:ascii="宋体" w:hAnsi="宋体" w:eastAsia="宋体" w:cs="宋体"/>
          <w:szCs w:val="21"/>
        </w:rPr>
        <w:t xml:space="preserve">任何一项投标报价（单项报价及总价）超出采购人设定的预算价及最高限价的，其投标</w:t>
      </w:r>
      <w:r>
        <w:rPr>
          <w:rFonts w:hint="eastAsia" w:ascii="宋体" w:hAnsi="宋体" w:eastAsia="宋体" w:cs="宋体"/>
          <w:szCs w:val="21"/>
        </w:rPr>
        <w:t xml:space="preserve">按废标处理</w:t>
      </w:r>
      <w:r>
        <w:rPr>
          <w:rFonts w:hint="eastAsia" w:ascii="宋体" w:hAnsi="宋体" w:eastAsia="宋体" w:cs="宋体"/>
          <w:szCs w:val="21"/>
        </w:rPr>
        <w:t xml:space="preserve">。</w:t>
      </w:r>
      <w:bookmarkEnd w:id="39"/>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宋体"/>
          <w:b/>
          <w:bCs/>
          <w:szCs w:val="21"/>
        </w:rPr>
      </w:pPr>
      <w:r>
        <w:rPr>
          <w:rFonts w:ascii="宋体" w:hAnsi="宋体" w:eastAsia="宋体" w:cs="宋体"/>
          <w:b/>
          <w:bCs/>
          <w:szCs w:val="21"/>
          <w:lang w:val="zh-CN"/>
        </w:rPr>
        <w:br w:type="page" w:clear="all"/>
      </w:r>
      <w:r>
        <w:rPr>
          <w:rFonts w:hint="eastAsia" w:ascii="宋体" w:hAnsi="宋体" w:eastAsia="宋体" w:cs="宋体"/>
          <w:b/>
          <w:bCs/>
          <w:szCs w:val="21"/>
        </w:rPr>
        <w:t xml:space="preserve">附件5：</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单位名称（盖章）：                       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t xml:space="preserve">附件7</w:t>
      </w:r>
      <w:r>
        <w:rPr>
          <w:rFonts w:hint="eastAsia" w:ascii="宋体" w:hAnsi="宋体" w:eastAsia="宋体" w:cs="Times New Roman"/>
          <w:b/>
          <w:bCs/>
          <w:spacing w:val="20"/>
          <w:szCs w:val="21"/>
          <w:lang w:val="zh-CN"/>
        </w:rPr>
        <w:t xml:space="preserve">：</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本项目投入专业设施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rPr>
            </w:pPr>
            <w:r>
              <w:rPr>
                <w:rFonts w:ascii="宋体" w:hAnsi="宋体" w:eastAsia="宋体" w:cs="Times New Roman"/>
                <w:spacing w:val="-20"/>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5000" w:type="pct"/>
        <w:tblInd w:w="42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51"/>
        <w:gridCol w:w="1541"/>
        <w:gridCol w:w="962"/>
        <w:gridCol w:w="659"/>
        <w:gridCol w:w="705"/>
        <w:gridCol w:w="661"/>
        <w:gridCol w:w="1292"/>
        <w:gridCol w:w="1541"/>
        <w:gridCol w:w="1163"/>
      </w:tblGrid>
      <w:tr>
        <w:trPr>
          <w:trHeight w:val="851"/>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典型业务</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注：1.附各专业人员简历及相关证明材料扫描件；2.表格不够填写可添加。</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响应单位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ascii="宋体" w:hAnsi="宋体" w:eastAsia="宋体" w:cs="Times New Roman"/>
          <w:szCs w:val="21"/>
        </w:rPr>
        <w:t xml:space="preserve">响应</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附件10：</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、磋商供应商可根据自身情况编写，本页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w:t>
      </w:r>
      <w:r>
        <w:rPr>
          <w:rFonts w:ascii="宋体" w:hAnsi="宋体" w:eastAsia="宋体" w:cs="Times New Roman"/>
          <w:b/>
          <w:bCs/>
          <w:szCs w:val="21"/>
        </w:rPr>
        <w:t xml:space="preserve">1</w:t>
      </w:r>
      <w:r>
        <w:rPr>
          <w:rFonts w:hint="eastAsia" w:ascii="宋体" w:hAnsi="宋体" w:eastAsia="宋体" w:cs="Times New Roman"/>
          <w:b/>
          <w:bCs/>
          <w:szCs w:val="21"/>
        </w:rPr>
        <w:t xml:space="preserve">：资格证明文件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响应单位：（公章）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3</w:t>
      </w:r>
      <w:r>
        <w:rPr>
          <w:rFonts w:hint="eastAsia" w:ascii="宋体" w:hAnsi="宋体" w:eastAsia="宋体" w:cs="Times New Roman"/>
          <w:b/>
          <w:szCs w:val="21"/>
        </w:rPr>
        <w:t xml:space="preserve">：</w:t>
      </w:r>
      <w:r/>
    </w:p>
    <w:p>
      <w:pPr>
        <w:pStyle w:val="1088"/>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88"/>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762"/>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762"/>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762"/>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762"/>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762"/>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762"/>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762"/>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762"/>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762"/>
        <w:ind w:left="1560" w:firstLine="420"/>
        <w:spacing w:before="0" w:beforeAutospacing="0" w:after="0" w:afterAutospacing="0" w:line="360" w:lineRule="auto"/>
        <w:rPr>
          <w:sz w:val="21"/>
          <w:szCs w:val="21"/>
        </w:rPr>
      </w:pPr>
      <w:r>
        <w:rPr>
          <w:sz w:val="21"/>
          <w:szCs w:val="21"/>
        </w:rPr>
        <w:t xml:space="preserve"> </w:t>
      </w:r>
      <w:r/>
    </w:p>
    <w:p>
      <w:pPr>
        <w:pStyle w:val="762"/>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762"/>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762"/>
        <w:ind w:firstLine="420"/>
        <w:spacing w:before="0" w:beforeAutospacing="0" w:after="0" w:afterAutospacing="0" w:line="360" w:lineRule="auto"/>
        <w:rPr>
          <w:sz w:val="21"/>
          <w:szCs w:val="21"/>
        </w:rPr>
      </w:pPr>
      <w:r>
        <w:rPr>
          <w:sz w:val="21"/>
          <w:szCs w:val="21"/>
        </w:rPr>
        <w:t xml:space="preserve">地址：                                         电话：</w:t>
      </w:r>
      <w:r/>
    </w:p>
    <w:p>
      <w:pPr>
        <w:pStyle w:val="762"/>
        <w:ind w:firstLine="420"/>
        <w:spacing w:before="0" w:beforeAutospacing="0" w:after="0" w:afterAutospacing="0" w:line="360" w:lineRule="auto"/>
        <w:rPr>
          <w:sz w:val="21"/>
          <w:szCs w:val="21"/>
        </w:rPr>
      </w:pPr>
      <w:r>
        <w:rPr>
          <w:sz w:val="21"/>
          <w:szCs w:val="21"/>
        </w:rPr>
        <w:t xml:space="preserve">传真：                                        电子邮件：</w:t>
      </w:r>
      <w:r/>
    </w:p>
    <w:p>
      <w:pPr>
        <w:pStyle w:val="762"/>
        <w:ind w:firstLine="420"/>
        <w:spacing w:before="0" w:beforeAutospacing="0" w:after="0" w:afterAutospacing="0" w:line="360" w:lineRule="auto"/>
        <w:rPr>
          <w:sz w:val="21"/>
          <w:szCs w:val="21"/>
        </w:rPr>
      </w:pPr>
      <w:r>
        <w:rPr>
          <w:sz w:val="21"/>
          <w:szCs w:val="21"/>
        </w:rPr>
        <w:t xml:space="preserve">邮编：   </w:t>
      </w:r>
      <w:r/>
    </w:p>
    <w:p>
      <w:pPr>
        <w:pStyle w:val="762"/>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4</w:t>
      </w:r>
      <w:r>
        <w:rPr>
          <w:rFonts w:hint="eastAsia" w:ascii="宋体" w:hAnsi="宋体" w:eastAsia="宋体" w:cs="Times New Roman"/>
          <w:b/>
          <w:szCs w:val="21"/>
        </w:rPr>
        <w:t xml:space="preserve">：</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74"/>
        <w:ind w:firstLine="480"/>
        <w:rPr>
          <w:rFonts w:hint="eastAsia" w:hAnsi="宋体" w:cs="宋体"/>
          <w:szCs w:val="16"/>
        </w:rPr>
      </w:pPr>
      <w:r>
        <w:rPr>
          <w:rFonts w:hint="eastAsia" w:hAnsi="宋体" w:cs="宋体"/>
          <w:szCs w:val="16"/>
        </w:rPr>
      </w:r>
      <w:r/>
    </w:p>
    <w:p>
      <w:pPr>
        <w:pStyle w:val="1029"/>
        <w:rPr>
          <w:rFonts w:hint="eastAsia" w:ascii="宋体" w:hAnsi="宋体" w:cs="宋体"/>
          <w:color w:val="auto"/>
          <w:sz w:val="18"/>
          <w:szCs w:val="18"/>
        </w:rPr>
        <w:framePr w:wrap="around"/>
      </w:pPr>
      <w:r>
        <w:rPr>
          <w:rFonts w:hint="eastAsia"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Cambria Math">
    <w:panose1 w:val="02040503050406030204"/>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70"/>
        <w:rFonts w:hint="eastAsia"/>
      </w:rPr>
      <w:framePr w:wrap="around" w:vAnchor="text" w:hAnchor="margin" w:xAlign="center" w:y="1"/>
    </w:pPr>
    <w:r>
      <w:fldChar w:fldCharType="begin"/>
    </w:r>
    <w:r>
      <w:rPr>
        <w:rStyle w:val="770"/>
      </w:rPr>
      <w:instrText xml:space="preserve">PAGE  </w:instrText>
    </w:r>
    <w:r>
      <w:rPr>
        <w:rFonts w:hint="eastAsia"/>
      </w:rPr>
      <w:fldChar w:fldCharType="separate"/>
    </w:r>
    <w:r>
      <w:fldChar w:fldCharType="end"/>
    </w:r>
    <w:r/>
  </w:p>
  <w:p>
    <w:pPr>
      <w:pStyle w:val="748"/>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022"/>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7 Char"/>
    <w:basedOn w:val="726"/>
    <w:link w:val="723"/>
    <w:uiPriority w:val="9"/>
    <w:rPr>
      <w:rFonts w:ascii="Arial" w:hAnsi="Arial" w:eastAsia="Arial" w:cs="Arial"/>
      <w:b/>
      <w:bCs/>
      <w:i/>
      <w:iCs/>
      <w:sz w:val="22"/>
      <w:szCs w:val="22"/>
    </w:rPr>
  </w:style>
  <w:style w:type="character" w:styleId="691">
    <w:name w:val="Heading 9 Char"/>
    <w:basedOn w:val="726"/>
    <w:link w:val="725"/>
    <w:uiPriority w:val="9"/>
    <w:rPr>
      <w:rFonts w:ascii="Arial" w:hAnsi="Arial" w:eastAsia="Arial" w:cs="Arial"/>
      <w:i/>
      <w:iCs/>
      <w:sz w:val="21"/>
      <w:szCs w:val="21"/>
    </w:rPr>
  </w:style>
  <w:style w:type="character" w:styleId="692">
    <w:name w:val="Subtitle Char"/>
    <w:basedOn w:val="726"/>
    <w:link w:val="752"/>
    <w:uiPriority w:val="11"/>
    <w:rPr>
      <w:sz w:val="24"/>
      <w:szCs w:val="24"/>
    </w:rPr>
  </w:style>
  <w:style w:type="character" w:styleId="693">
    <w:name w:val="Quote Char"/>
    <w:link w:val="787"/>
    <w:uiPriority w:val="29"/>
    <w:rPr>
      <w:i/>
    </w:rPr>
  </w:style>
  <w:style w:type="character" w:styleId="694">
    <w:name w:val="Intense Quote Char"/>
    <w:link w:val="789"/>
    <w:uiPriority w:val="30"/>
    <w:rPr>
      <w:i/>
    </w:rPr>
  </w:style>
  <w:style w:type="table" w:styleId="695">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7">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9">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2">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3">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4">
    <w:name w:val="Endnote Text Char"/>
    <w:link w:val="746"/>
    <w:uiPriority w:val="99"/>
    <w:rPr>
      <w:sz w:val="20"/>
    </w:rPr>
  </w:style>
  <w:style w:type="paragraph" w:styleId="715">
    <w:name w:val="TOC Heading"/>
    <w:uiPriority w:val="39"/>
    <w:unhideWhenUsed/>
  </w:style>
  <w:style w:type="paragraph" w:styleId="716" w:default="1">
    <w:name w:val="Normal"/>
    <w:qFormat/>
    <w:pPr>
      <w:jc w:val="both"/>
      <w:widowControl w:val="off"/>
    </w:pPr>
    <w:rPr>
      <w:rFonts w:asciiTheme="minorHAnsi" w:hAnsiTheme="minorHAnsi" w:eastAsiaTheme="minorEastAsia" w:cstheme="minorBidi"/>
      <w:sz w:val="21"/>
      <w:szCs w:val="22"/>
    </w:rPr>
  </w:style>
  <w:style w:type="paragraph" w:styleId="717">
    <w:name w:val="Heading 1"/>
    <w:basedOn w:val="716"/>
    <w:next w:val="716"/>
    <w:link w:val="931"/>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718">
    <w:name w:val="Heading 2"/>
    <w:basedOn w:val="716"/>
    <w:next w:val="716"/>
    <w:link w:val="932"/>
    <w:qFormat/>
    <w:pPr>
      <w:jc w:val="center"/>
      <w:keepLines/>
      <w:keepNext/>
      <w:outlineLvl w:val="1"/>
    </w:pPr>
    <w:rPr>
      <w:rFonts w:ascii="宋体" w:hAnsi="宋体" w:eastAsia="楷体_GB2312" w:cs="Times New Roman"/>
      <w:b/>
      <w:sz w:val="44"/>
      <w:szCs w:val="20"/>
      <w:lang w:val="zh-CN"/>
    </w:rPr>
  </w:style>
  <w:style w:type="paragraph" w:styleId="719">
    <w:name w:val="Heading 3"/>
    <w:basedOn w:val="716"/>
    <w:next w:val="716"/>
    <w:link w:val="933"/>
    <w:qFormat/>
    <w:pPr>
      <w:jc w:val="center"/>
      <w:keepLines/>
      <w:keepNext/>
      <w:outlineLvl w:val="2"/>
    </w:pPr>
    <w:rPr>
      <w:rFonts w:ascii="Times New Roman" w:hAnsi="Times New Roman" w:eastAsia="楷体_GB2312" w:cs="Times New Roman"/>
      <w:b/>
      <w:sz w:val="32"/>
      <w:szCs w:val="20"/>
      <w:lang w:val="zh-CN"/>
    </w:rPr>
  </w:style>
  <w:style w:type="paragraph" w:styleId="720">
    <w:name w:val="Heading 4"/>
    <w:basedOn w:val="716"/>
    <w:next w:val="716"/>
    <w:link w:val="934"/>
    <w:qFormat/>
    <w:pPr>
      <w:keepLines/>
      <w:keepNext/>
      <w:spacing w:before="280" w:after="290" w:line="376" w:lineRule="auto"/>
      <w:outlineLvl w:val="3"/>
    </w:pPr>
    <w:rPr>
      <w:rFonts w:ascii="Arial" w:hAnsi="Arial" w:eastAsia="黑体" w:cs="Times New Roman"/>
      <w:b/>
      <w:bCs/>
      <w:sz w:val="28"/>
      <w:szCs w:val="28"/>
      <w:lang w:val="zh-CN"/>
    </w:rPr>
  </w:style>
  <w:style w:type="paragraph" w:styleId="721">
    <w:name w:val="Heading 5"/>
    <w:basedOn w:val="716"/>
    <w:next w:val="716"/>
    <w:link w:val="935"/>
    <w:qFormat/>
    <w:pPr>
      <w:keepNext/>
      <w:outlineLvl w:val="4"/>
    </w:pPr>
    <w:rPr>
      <w:rFonts w:ascii="宋体" w:hAnsi="宋体" w:eastAsia="宋体" w:cs="Times New Roman"/>
      <w:color w:val="000000"/>
      <w:sz w:val="28"/>
      <w:szCs w:val="20"/>
      <w:lang w:val="zh-CN"/>
    </w:rPr>
  </w:style>
  <w:style w:type="paragraph" w:styleId="722">
    <w:name w:val="Heading 6"/>
    <w:basedOn w:val="716"/>
    <w:next w:val="716"/>
    <w:link w:val="936"/>
    <w:qFormat/>
    <w:pPr>
      <w:keepNext/>
      <w:outlineLvl w:val="5"/>
    </w:pPr>
    <w:rPr>
      <w:rFonts w:ascii="宋体" w:hAnsi="宋体" w:eastAsia="宋体" w:cs="Times New Roman"/>
      <w:sz w:val="28"/>
      <w:szCs w:val="20"/>
      <w:lang w:val="zh-CN"/>
    </w:rPr>
  </w:style>
  <w:style w:type="paragraph" w:styleId="723">
    <w:name w:val="Heading 7"/>
    <w:basedOn w:val="716"/>
    <w:next w:val="716"/>
    <w:link w:val="781"/>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937"/>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25">
    <w:name w:val="Heading 9"/>
    <w:basedOn w:val="716"/>
    <w:next w:val="716"/>
    <w:link w:val="783"/>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toc 7"/>
    <w:basedOn w:val="716"/>
    <w:next w:val="716"/>
    <w:uiPriority w:val="39"/>
    <w:unhideWhenUsed/>
    <w:pPr>
      <w:ind w:left="1701"/>
      <w:spacing w:after="57"/>
    </w:pPr>
  </w:style>
  <w:style w:type="paragraph" w:styleId="730">
    <w:name w:val="Normal Indent"/>
    <w:basedOn w:val="716"/>
    <w:link w:val="938"/>
    <w:qFormat/>
    <w:pPr>
      <w:ind w:firstLine="420"/>
    </w:pPr>
    <w:rPr>
      <w:rFonts w:ascii="Calibri" w:hAnsi="Calibri" w:eastAsia="宋体" w:cs="Times New Roman"/>
      <w:sz w:val="20"/>
      <w:szCs w:val="20"/>
      <w:lang w:val="zh-CN"/>
    </w:rPr>
  </w:style>
  <w:style w:type="paragraph" w:styleId="731">
    <w:name w:val="Caption"/>
    <w:basedOn w:val="716"/>
    <w:next w:val="716"/>
    <w:uiPriority w:val="35"/>
    <w:semiHidden/>
    <w:unhideWhenUsed/>
    <w:qFormat/>
    <w:pPr>
      <w:spacing w:line="276" w:lineRule="auto"/>
    </w:pPr>
    <w:rPr>
      <w:b/>
      <w:bCs/>
      <w:color w:val="4472c4" w:themeColor="accent1"/>
      <w:sz w:val="18"/>
      <w:szCs w:val="18"/>
    </w:rPr>
  </w:style>
  <w:style w:type="paragraph" w:styleId="732">
    <w:name w:val="index 5"/>
    <w:basedOn w:val="716"/>
    <w:next w:val="716"/>
    <w:qFormat/>
    <w:pPr>
      <w:ind w:left="1680"/>
    </w:pPr>
    <w:rPr>
      <w:rFonts w:ascii="Times New Roman" w:hAnsi="Times New Roman" w:eastAsia="楷体_GB2312" w:cs="Times New Roman"/>
      <w:sz w:val="26"/>
      <w:szCs w:val="20"/>
    </w:rPr>
  </w:style>
  <w:style w:type="paragraph" w:styleId="733">
    <w:name w:val="List Bullet"/>
    <w:basedOn w:val="716"/>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734">
    <w:name w:val="Document Map"/>
    <w:basedOn w:val="716"/>
    <w:link w:val="940"/>
    <w:pPr>
      <w:jc w:val="left"/>
      <w:shd w:val="clear" w:color="auto" w:fill="000080"/>
      <w:widowControl/>
    </w:pPr>
    <w:rPr>
      <w:rFonts w:ascii="Times New Roman" w:hAnsi="Times New Roman" w:eastAsia="宋体" w:cs="Times New Roman"/>
      <w:sz w:val="24"/>
      <w:szCs w:val="24"/>
      <w:lang w:val="zh-CN"/>
    </w:rPr>
  </w:style>
  <w:style w:type="paragraph" w:styleId="735">
    <w:name w:val="annotation text"/>
    <w:basedOn w:val="716"/>
    <w:link w:val="942"/>
    <w:uiPriority w:val="99"/>
    <w:qFormat/>
    <w:pPr>
      <w:jc w:val="left"/>
    </w:pPr>
    <w:rPr>
      <w:rFonts w:ascii="Times New Roman" w:hAnsi="Times New Roman" w:eastAsia="宋体" w:cs="Times New Roman"/>
      <w:sz w:val="24"/>
      <w:szCs w:val="24"/>
      <w:lang w:val="zh-CN"/>
    </w:rPr>
  </w:style>
  <w:style w:type="paragraph" w:styleId="736">
    <w:name w:val="Body Text 3"/>
    <w:basedOn w:val="716"/>
    <w:link w:val="944"/>
    <w:pPr>
      <w:spacing w:after="120"/>
    </w:pPr>
    <w:rPr>
      <w:rFonts w:ascii="Times New Roman" w:hAnsi="Times New Roman" w:eastAsia="楷体_GB2312" w:cs="Times New Roman"/>
      <w:sz w:val="16"/>
      <w:szCs w:val="16"/>
      <w:lang w:val="zh-CN"/>
    </w:rPr>
  </w:style>
  <w:style w:type="paragraph" w:styleId="737">
    <w:name w:val="Body Text"/>
    <w:basedOn w:val="716"/>
    <w:link w:val="946"/>
    <w:qFormat/>
    <w:pPr>
      <w:jc w:val="left"/>
      <w:spacing w:line="360" w:lineRule="auto"/>
      <w:widowControl/>
    </w:pPr>
    <w:rPr>
      <w:rFonts w:ascii="Times New Roman" w:hAnsi="Times New Roman" w:eastAsia="宋体" w:cs="Times New Roman"/>
      <w:sz w:val="24"/>
      <w:szCs w:val="20"/>
      <w:lang w:val="zh-CN"/>
    </w:rPr>
  </w:style>
  <w:style w:type="paragraph" w:styleId="738">
    <w:name w:val="Body Text Indent"/>
    <w:basedOn w:val="716"/>
    <w:link w:val="948"/>
    <w:qFormat/>
    <w:pPr>
      <w:ind w:left="420"/>
      <w:jc w:val="left"/>
      <w:spacing w:after="120"/>
      <w:widowControl/>
    </w:pPr>
    <w:rPr>
      <w:rFonts w:ascii="Times New Roman" w:hAnsi="Times New Roman" w:eastAsia="宋体" w:cs="Times New Roman"/>
      <w:sz w:val="24"/>
      <w:szCs w:val="24"/>
      <w:lang w:val="zh-CN"/>
    </w:rPr>
  </w:style>
  <w:style w:type="paragraph" w:styleId="739">
    <w:name w:val="Block Text"/>
    <w:basedOn w:val="716"/>
    <w:pPr>
      <w:ind w:left="630" w:right="-609" w:firstLine="420"/>
      <w:spacing w:line="360" w:lineRule="auto"/>
    </w:pPr>
    <w:rPr>
      <w:rFonts w:hint="eastAsia" w:ascii="仿宋_GB2312" w:hAnsi="Times New Roman" w:eastAsia="仿宋_GB2312" w:cs="Times New Roman"/>
      <w:szCs w:val="20"/>
    </w:rPr>
  </w:style>
  <w:style w:type="paragraph" w:styleId="740">
    <w:name w:val="toc 5"/>
    <w:basedOn w:val="716"/>
    <w:next w:val="716"/>
    <w:uiPriority w:val="39"/>
    <w:unhideWhenUsed/>
    <w:pPr>
      <w:ind w:left="1134"/>
      <w:spacing w:after="57"/>
    </w:pPr>
  </w:style>
  <w:style w:type="paragraph" w:styleId="741">
    <w:name w:val="toc 3"/>
    <w:basedOn w:val="716"/>
    <w:next w:val="716"/>
    <w:uiPriority w:val="39"/>
    <w:unhideWhenUsed/>
    <w:pPr>
      <w:ind w:left="567"/>
      <w:spacing w:after="57"/>
    </w:pPr>
  </w:style>
  <w:style w:type="paragraph" w:styleId="742">
    <w:name w:val="Plain Text"/>
    <w:basedOn w:val="716"/>
    <w:link w:val="952"/>
    <w:uiPriority w:val="99"/>
    <w:rPr>
      <w:rFonts w:ascii="宋体" w:hAnsi="Courier New" w:eastAsia="宋体" w:cs="Times New Roman"/>
      <w:sz w:val="20"/>
      <w:szCs w:val="21"/>
      <w:lang w:val="zh-CN"/>
    </w:rPr>
  </w:style>
  <w:style w:type="paragraph" w:styleId="743">
    <w:name w:val="toc 8"/>
    <w:basedOn w:val="716"/>
    <w:next w:val="716"/>
    <w:uiPriority w:val="39"/>
    <w:unhideWhenUsed/>
    <w:pPr>
      <w:ind w:left="1984"/>
      <w:spacing w:after="57"/>
    </w:pPr>
  </w:style>
  <w:style w:type="paragraph" w:styleId="744">
    <w:name w:val="Date"/>
    <w:basedOn w:val="716"/>
    <w:next w:val="716"/>
    <w:link w:val="954"/>
    <w:qFormat/>
    <w:pPr>
      <w:ind w:left="100"/>
      <w:jc w:val="left"/>
      <w:widowControl/>
    </w:pPr>
    <w:rPr>
      <w:rFonts w:ascii="Times New Roman" w:hAnsi="Times New Roman" w:eastAsia="宋体" w:cs="Times New Roman"/>
      <w:sz w:val="24"/>
      <w:szCs w:val="24"/>
      <w:lang w:val="zh-CN"/>
    </w:rPr>
  </w:style>
  <w:style w:type="paragraph" w:styleId="745">
    <w:name w:val="Body Text Indent 2"/>
    <w:basedOn w:val="716"/>
    <w:link w:val="956"/>
    <w:pPr>
      <w:ind w:left="420"/>
      <w:spacing w:after="120" w:line="480" w:lineRule="auto"/>
    </w:pPr>
    <w:rPr>
      <w:rFonts w:ascii="Times New Roman" w:hAnsi="Times New Roman" w:eastAsia="楷体_GB2312" w:cs="Times New Roman"/>
      <w:sz w:val="28"/>
      <w:szCs w:val="20"/>
      <w:lang w:val="zh-CN"/>
    </w:rPr>
  </w:style>
  <w:style w:type="paragraph" w:styleId="746">
    <w:name w:val="endnote text"/>
    <w:basedOn w:val="716"/>
    <w:link w:val="920"/>
    <w:uiPriority w:val="99"/>
    <w:semiHidden/>
    <w:unhideWhenUsed/>
    <w:rPr>
      <w:sz w:val="20"/>
    </w:rPr>
  </w:style>
  <w:style w:type="paragraph" w:styleId="747">
    <w:name w:val="Balloon Text"/>
    <w:basedOn w:val="716"/>
    <w:link w:val="958"/>
    <w:qFormat/>
    <w:pPr>
      <w:jc w:val="left"/>
      <w:widowControl/>
    </w:pPr>
    <w:rPr>
      <w:rFonts w:ascii="Times New Roman" w:hAnsi="Times New Roman" w:eastAsia="宋体" w:cs="Times New Roman"/>
      <w:sz w:val="18"/>
      <w:szCs w:val="18"/>
      <w:lang w:val="zh-CN"/>
    </w:rPr>
  </w:style>
  <w:style w:type="paragraph" w:styleId="748">
    <w:name w:val="Footer"/>
    <w:basedOn w:val="716"/>
    <w:link w:val="923"/>
    <w:uiPriority w:val="99"/>
    <w:unhideWhenUsed/>
    <w:pPr>
      <w:jc w:val="left"/>
      <w:tabs>
        <w:tab w:val="center" w:pos="4153" w:leader="none"/>
        <w:tab w:val="right" w:pos="8306" w:leader="none"/>
      </w:tabs>
    </w:pPr>
    <w:rPr>
      <w:sz w:val="18"/>
      <w:szCs w:val="18"/>
    </w:rPr>
  </w:style>
  <w:style w:type="paragraph" w:styleId="749">
    <w:name w:val="Header"/>
    <w:basedOn w:val="716"/>
    <w:link w:val="922"/>
    <w:uiPriority w:val="99"/>
    <w:unhideWhenUsed/>
    <w:pPr>
      <w:jc w:val="center"/>
      <w:tabs>
        <w:tab w:val="center" w:pos="4153" w:leader="none"/>
        <w:tab w:val="right" w:pos="8306" w:leader="none"/>
      </w:tabs>
    </w:pPr>
    <w:rPr>
      <w:sz w:val="18"/>
      <w:szCs w:val="18"/>
    </w:rPr>
  </w:style>
  <w:style w:type="paragraph" w:styleId="750">
    <w:name w:val="toc 1"/>
    <w:basedOn w:val="716"/>
    <w:next w:val="716"/>
    <w:uiPriority w:val="39"/>
    <w:qFormat/>
    <w:pPr>
      <w:jc w:val="left"/>
    </w:pPr>
    <w:rPr>
      <w:rFonts w:ascii="Times New Roman" w:hAnsi="Times New Roman" w:eastAsia="楷体_GB2312" w:cs="Times New Roman"/>
      <w:sz w:val="24"/>
      <w:szCs w:val="20"/>
    </w:rPr>
  </w:style>
  <w:style w:type="paragraph" w:styleId="751">
    <w:name w:val="toc 4"/>
    <w:basedOn w:val="716"/>
    <w:next w:val="716"/>
    <w:uiPriority w:val="39"/>
    <w:unhideWhenUsed/>
    <w:pPr>
      <w:ind w:left="850"/>
      <w:spacing w:after="57"/>
    </w:pPr>
  </w:style>
  <w:style w:type="paragraph" w:styleId="752">
    <w:name w:val="Subtitle"/>
    <w:basedOn w:val="716"/>
    <w:next w:val="716"/>
    <w:link w:val="786"/>
    <w:uiPriority w:val="11"/>
    <w:qFormat/>
    <w:pPr>
      <w:spacing w:before="200" w:after="200"/>
    </w:pPr>
    <w:rPr>
      <w:sz w:val="24"/>
      <w:szCs w:val="24"/>
    </w:rPr>
  </w:style>
  <w:style w:type="paragraph" w:styleId="753">
    <w:name w:val="footnote text"/>
    <w:basedOn w:val="716"/>
    <w:link w:val="962"/>
    <w:qFormat/>
    <w:pPr>
      <w:jc w:val="left"/>
    </w:pPr>
    <w:rPr>
      <w:rFonts w:ascii="Times New Roman" w:hAnsi="Times New Roman" w:eastAsia="宋体" w:cs="Times New Roman"/>
      <w:sz w:val="18"/>
      <w:szCs w:val="18"/>
      <w:lang w:val="zh-CN"/>
    </w:rPr>
  </w:style>
  <w:style w:type="paragraph" w:styleId="754">
    <w:name w:val="toc 6"/>
    <w:basedOn w:val="716"/>
    <w:next w:val="716"/>
    <w:uiPriority w:val="39"/>
    <w:unhideWhenUsed/>
    <w:pPr>
      <w:ind w:left="1417"/>
      <w:spacing w:after="57"/>
    </w:pPr>
  </w:style>
  <w:style w:type="paragraph" w:styleId="755">
    <w:name w:val="Body Text Indent 3"/>
    <w:basedOn w:val="716"/>
    <w:link w:val="964"/>
    <w:uiPriority w:val="99"/>
    <w:pPr>
      <w:ind w:firstLine="480"/>
      <w:jc w:val="left"/>
      <w:spacing w:line="300" w:lineRule="auto"/>
    </w:pPr>
    <w:rPr>
      <w:rFonts w:ascii="Times New Roman" w:hAnsi="Times New Roman" w:eastAsia="宋体" w:cs="Times New Roman"/>
      <w:sz w:val="16"/>
      <w:szCs w:val="16"/>
      <w:lang w:val="zh-CN"/>
    </w:rPr>
  </w:style>
  <w:style w:type="paragraph" w:styleId="756">
    <w:name w:val="table of figures"/>
    <w:basedOn w:val="716"/>
    <w:next w:val="716"/>
    <w:uiPriority w:val="99"/>
    <w:unhideWhenUsed/>
  </w:style>
  <w:style w:type="paragraph" w:styleId="757">
    <w:name w:val="toc 2"/>
    <w:basedOn w:val="716"/>
    <w:next w:val="716"/>
    <w:uiPriority w:val="39"/>
    <w:unhideWhenUsed/>
    <w:pPr>
      <w:ind w:left="283"/>
      <w:spacing w:after="57"/>
    </w:pPr>
  </w:style>
  <w:style w:type="paragraph" w:styleId="758">
    <w:name w:val="toc 9"/>
    <w:basedOn w:val="716"/>
    <w:next w:val="716"/>
    <w:uiPriority w:val="39"/>
    <w:unhideWhenUsed/>
    <w:pPr>
      <w:ind w:left="2268"/>
      <w:spacing w:after="57"/>
    </w:pPr>
  </w:style>
  <w:style w:type="paragraph" w:styleId="759">
    <w:name w:val="Body Text 2"/>
    <w:basedOn w:val="716"/>
    <w:link w:val="966"/>
    <w:qFormat/>
    <w:pPr>
      <w:spacing w:line="180" w:lineRule="exact"/>
    </w:pPr>
    <w:rPr>
      <w:rFonts w:ascii="Times New Roman" w:hAnsi="Times New Roman" w:eastAsia="宋体" w:cs="Times New Roman"/>
      <w:sz w:val="15"/>
      <w:szCs w:val="24"/>
      <w:lang w:val="zh-CN"/>
    </w:rPr>
  </w:style>
  <w:style w:type="paragraph" w:styleId="760">
    <w:name w:val="List 4"/>
    <w:basedOn w:val="716"/>
    <w:pPr>
      <w:ind w:left="100" w:hanging="200"/>
    </w:pPr>
    <w:rPr>
      <w:rFonts w:ascii="Times New Roman" w:hAnsi="Times New Roman" w:eastAsia="宋体" w:cs="Times New Roman"/>
      <w:szCs w:val="24"/>
    </w:rPr>
  </w:style>
  <w:style w:type="paragraph" w:styleId="761">
    <w:name w:val="HTML Preformatted"/>
    <w:basedOn w:val="716"/>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762">
    <w:name w:val="Normal (Web)"/>
    <w:basedOn w:val="716"/>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763">
    <w:name w:val="index 1"/>
    <w:basedOn w:val="716"/>
    <w:next w:val="716"/>
    <w:rPr>
      <w:rFonts w:ascii="Times New Roman" w:hAnsi="Times New Roman" w:eastAsia="宋体" w:cs="Times New Roman"/>
      <w:szCs w:val="24"/>
    </w:rPr>
  </w:style>
  <w:style w:type="paragraph" w:styleId="764">
    <w:name w:val="Title"/>
    <w:basedOn w:val="716"/>
    <w:next w:val="716"/>
    <w:link w:val="970"/>
    <w:qFormat/>
    <w:pPr>
      <w:jc w:val="center"/>
      <w:spacing w:before="240" w:after="60"/>
      <w:outlineLvl w:val="0"/>
    </w:pPr>
    <w:rPr>
      <w:rFonts w:ascii="Cambria" w:hAnsi="Cambria" w:eastAsia="宋体" w:cs="Times New Roman"/>
      <w:b/>
      <w:bCs/>
      <w:sz w:val="32"/>
      <w:szCs w:val="32"/>
      <w:lang w:val="zh-CN"/>
    </w:rPr>
  </w:style>
  <w:style w:type="paragraph" w:styleId="765">
    <w:name w:val="annotation subject"/>
    <w:basedOn w:val="735"/>
    <w:next w:val="735"/>
    <w:link w:val="972"/>
    <w:rPr>
      <w:rFonts w:eastAsia="楷体_GB2312"/>
      <w:b/>
      <w:bCs/>
      <w:sz w:val="28"/>
    </w:rPr>
  </w:style>
  <w:style w:type="paragraph" w:styleId="766">
    <w:name w:val="Body Text First Indent 2"/>
    <w:basedOn w:val="738"/>
    <w:link w:val="1087"/>
    <w:uiPriority w:val="99"/>
    <w:semiHidden/>
    <w:unhideWhenUsed/>
    <w:pPr>
      <w:ind w:firstLine="420"/>
      <w:jc w:val="both"/>
      <w:widowControl w:val="off"/>
    </w:pPr>
    <w:rPr>
      <w:rFonts w:asciiTheme="minorHAnsi" w:hAnsiTheme="minorHAnsi" w:eastAsiaTheme="minorEastAsia" w:cstheme="minorBidi"/>
      <w:sz w:val="21"/>
      <w:szCs w:val="22"/>
      <w:lang w:val="en-US"/>
    </w:rPr>
  </w:style>
  <w:style w:type="table" w:styleId="767">
    <w:name w:val="Table Grid"/>
    <w:basedOn w:val="72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8">
    <w:name w:val="Strong"/>
    <w:qFormat/>
    <w:rPr>
      <w:b/>
      <w:bCs/>
    </w:rPr>
  </w:style>
  <w:style w:type="character" w:styleId="769">
    <w:name w:val="endnote reference"/>
    <w:basedOn w:val="726"/>
    <w:uiPriority w:val="99"/>
    <w:semiHidden/>
    <w:unhideWhenUsed/>
    <w:rPr>
      <w:vertAlign w:val="superscript"/>
    </w:rPr>
  </w:style>
  <w:style w:type="character" w:styleId="770">
    <w:name w:val="page number"/>
  </w:style>
  <w:style w:type="character" w:styleId="771">
    <w:name w:val="FollowedHyperlink"/>
    <w:basedOn w:val="726"/>
    <w:uiPriority w:val="99"/>
    <w:semiHidden/>
    <w:unhideWhenUsed/>
    <w:rPr>
      <w:color w:val="954f72" w:themeColor="followedHyperlink"/>
      <w:u w:val="single"/>
    </w:rPr>
  </w:style>
  <w:style w:type="character" w:styleId="772">
    <w:name w:val="Hyperlink"/>
    <w:rPr>
      <w:color w:val="0000ff"/>
      <w:u w:val="single"/>
    </w:rPr>
  </w:style>
  <w:style w:type="character" w:styleId="773">
    <w:name w:val="annotation reference"/>
    <w:qFormat/>
    <w:rPr>
      <w:sz w:val="21"/>
      <w:szCs w:val="21"/>
    </w:rPr>
  </w:style>
  <w:style w:type="character" w:styleId="774">
    <w:name w:val="footnote reference"/>
    <w:rPr>
      <w:vertAlign w:val="superscript"/>
    </w:rPr>
  </w:style>
  <w:style w:type="character" w:styleId="775" w:customStyle="1">
    <w:name w:val="Heading 1 Char"/>
    <w:basedOn w:val="726"/>
    <w:uiPriority w:val="9"/>
    <w:rPr>
      <w:rFonts w:ascii="Arial" w:hAnsi="Arial" w:eastAsia="Arial" w:cs="Arial"/>
      <w:sz w:val="40"/>
      <w:szCs w:val="40"/>
    </w:rPr>
  </w:style>
  <w:style w:type="character" w:styleId="776" w:customStyle="1">
    <w:name w:val="Heading 2 Char"/>
    <w:basedOn w:val="726"/>
    <w:uiPriority w:val="9"/>
    <w:rPr>
      <w:rFonts w:ascii="Arial" w:hAnsi="Arial" w:eastAsia="Arial" w:cs="Arial"/>
      <w:sz w:val="34"/>
    </w:rPr>
  </w:style>
  <w:style w:type="character" w:styleId="777" w:customStyle="1">
    <w:name w:val="Heading 3 Char"/>
    <w:basedOn w:val="726"/>
    <w:uiPriority w:val="9"/>
    <w:rPr>
      <w:rFonts w:ascii="Arial" w:hAnsi="Arial" w:eastAsia="Arial" w:cs="Arial"/>
      <w:sz w:val="30"/>
      <w:szCs w:val="30"/>
    </w:rPr>
  </w:style>
  <w:style w:type="character" w:styleId="778" w:customStyle="1">
    <w:name w:val="Heading 4 Char"/>
    <w:basedOn w:val="726"/>
    <w:uiPriority w:val="9"/>
    <w:rPr>
      <w:rFonts w:ascii="Arial" w:hAnsi="Arial" w:eastAsia="Arial" w:cs="Arial"/>
      <w:b/>
      <w:bCs/>
      <w:sz w:val="26"/>
      <w:szCs w:val="26"/>
    </w:rPr>
  </w:style>
  <w:style w:type="character" w:styleId="779" w:customStyle="1">
    <w:name w:val="Heading 5 Char"/>
    <w:basedOn w:val="726"/>
    <w:uiPriority w:val="9"/>
    <w:rPr>
      <w:rFonts w:ascii="Arial" w:hAnsi="Arial" w:eastAsia="Arial" w:cs="Arial"/>
      <w:b/>
      <w:bCs/>
      <w:sz w:val="24"/>
      <w:szCs w:val="24"/>
    </w:rPr>
  </w:style>
  <w:style w:type="character" w:styleId="780" w:customStyle="1">
    <w:name w:val="Heading 6 Char"/>
    <w:basedOn w:val="726"/>
    <w:uiPriority w:val="9"/>
    <w:rPr>
      <w:rFonts w:ascii="Arial" w:hAnsi="Arial" w:eastAsia="Arial" w:cs="Arial"/>
      <w:b/>
      <w:bCs/>
      <w:sz w:val="22"/>
      <w:szCs w:val="22"/>
    </w:rPr>
  </w:style>
  <w:style w:type="character" w:styleId="781" w:customStyle="1">
    <w:name w:val="标题 7 字符"/>
    <w:basedOn w:val="726"/>
    <w:link w:val="723"/>
    <w:uiPriority w:val="9"/>
    <w:rPr>
      <w:rFonts w:ascii="Arial" w:hAnsi="Arial" w:eastAsia="Arial" w:cs="Arial"/>
      <w:b/>
      <w:bCs/>
      <w:i/>
      <w:iCs/>
      <w:sz w:val="22"/>
      <w:szCs w:val="22"/>
    </w:rPr>
  </w:style>
  <w:style w:type="character" w:styleId="782" w:customStyle="1">
    <w:name w:val="Heading 8 Char"/>
    <w:basedOn w:val="726"/>
    <w:uiPriority w:val="9"/>
    <w:rPr>
      <w:rFonts w:ascii="Arial" w:hAnsi="Arial" w:eastAsia="Arial" w:cs="Arial"/>
      <w:i/>
      <w:iCs/>
      <w:sz w:val="22"/>
      <w:szCs w:val="22"/>
    </w:rPr>
  </w:style>
  <w:style w:type="character" w:styleId="783" w:customStyle="1">
    <w:name w:val="标题 9 字符"/>
    <w:basedOn w:val="726"/>
    <w:link w:val="725"/>
    <w:uiPriority w:val="9"/>
    <w:rPr>
      <w:rFonts w:ascii="Arial" w:hAnsi="Arial" w:eastAsia="Arial" w:cs="Arial"/>
      <w:i/>
      <w:iCs/>
      <w:sz w:val="21"/>
      <w:szCs w:val="21"/>
    </w:rPr>
  </w:style>
  <w:style w:type="paragraph" w:styleId="784">
    <w:name w:val="No Spacing"/>
    <w:uiPriority w:val="1"/>
    <w:qFormat/>
    <w:rPr>
      <w:rFonts w:asciiTheme="minorHAnsi" w:hAnsiTheme="minorHAnsi" w:eastAsiaTheme="minorEastAsia" w:cstheme="minorBidi"/>
    </w:rPr>
  </w:style>
  <w:style w:type="character" w:styleId="785" w:customStyle="1">
    <w:name w:val="Title Char"/>
    <w:basedOn w:val="726"/>
    <w:uiPriority w:val="10"/>
    <w:rPr>
      <w:sz w:val="48"/>
      <w:szCs w:val="48"/>
    </w:rPr>
  </w:style>
  <w:style w:type="character" w:styleId="786" w:customStyle="1">
    <w:name w:val="副标题 字符"/>
    <w:basedOn w:val="726"/>
    <w:link w:val="752"/>
    <w:uiPriority w:val="11"/>
    <w:rPr>
      <w:sz w:val="24"/>
      <w:szCs w:val="24"/>
    </w:rPr>
  </w:style>
  <w:style w:type="paragraph" w:styleId="787">
    <w:name w:val="Quote"/>
    <w:basedOn w:val="716"/>
    <w:next w:val="716"/>
    <w:link w:val="788"/>
    <w:uiPriority w:val="29"/>
    <w:qFormat/>
    <w:pPr>
      <w:ind w:left="720" w:right="720"/>
    </w:pPr>
    <w:rPr>
      <w:i/>
    </w:rPr>
  </w:style>
  <w:style w:type="character" w:styleId="788" w:customStyle="1">
    <w:name w:val="引用 字符"/>
    <w:link w:val="787"/>
    <w:uiPriority w:val="29"/>
    <w:rPr>
      <w:i/>
    </w:rPr>
  </w:style>
  <w:style w:type="paragraph" w:styleId="789">
    <w:name w:val="Intense Quote"/>
    <w:basedOn w:val="716"/>
    <w:next w:val="71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rPr>
      <w:i/>
    </w:rPr>
  </w:style>
  <w:style w:type="character" w:styleId="791" w:customStyle="1">
    <w:name w:val="Header Char"/>
    <w:basedOn w:val="726"/>
    <w:uiPriority w:val="99"/>
  </w:style>
  <w:style w:type="character" w:styleId="792" w:customStyle="1">
    <w:name w:val="Footer Char"/>
    <w:basedOn w:val="726"/>
    <w:uiPriority w:val="99"/>
  </w:style>
  <w:style w:type="character" w:styleId="793" w:customStyle="1">
    <w:name w:val="Caption Char"/>
    <w:uiPriority w:val="99"/>
  </w:style>
  <w:style w:type="table" w:styleId="794" w:customStyle="1">
    <w:name w:val="Table Grid Light"/>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5" w:customStyle="1">
    <w:name w:val="无格式表格 1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2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27"/>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2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2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2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27"/>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2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27"/>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2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27"/>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27"/>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27"/>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2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网格表 3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27"/>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2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27"/>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27"/>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27"/>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2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2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27"/>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3" w:customStyle="1">
    <w:name w:val="Grid Table 4 - Accent 2"/>
    <w:basedOn w:val="727"/>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4" w:customStyle="1">
    <w:name w:val="Grid Table 4 - Accent 3"/>
    <w:basedOn w:val="727"/>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5" w:customStyle="1">
    <w:name w:val="Grid Table 4 - Accent 4"/>
    <w:basedOn w:val="727"/>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6" w:customStyle="1">
    <w:name w:val="Grid Table 4 - Accent 5"/>
    <w:basedOn w:val="727"/>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27" w:customStyle="1">
    <w:name w:val="Grid Table 4 - Accent 6"/>
    <w:basedOn w:val="727"/>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8" w:customStyle="1">
    <w:name w:val="网格表 5 深色1"/>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0" w:customStyle="1">
    <w:name w:val="Grid Table 5 Dark - Accent 2"/>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1" w:customStyle="1">
    <w:name w:val="Grid Table 5 Dark - Accent 3"/>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2" w:customStyle="1">
    <w:name w:val="Grid Table 5 Dark- Accent 4"/>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3" w:customStyle="1">
    <w:name w:val="Grid Table 5 Dark - Accent 5"/>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4" w:customStyle="1">
    <w:name w:val="Grid Table 5 Dark - Accent 6"/>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5" w:customStyle="1">
    <w:name w:val="网格表 6 彩色1"/>
    <w:basedOn w:val="72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6 Colorful - Accent 1"/>
    <w:basedOn w:val="727"/>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37" w:customStyle="1">
    <w:name w:val="Grid Table 6 Colorful - Accent 2"/>
    <w:basedOn w:val="727"/>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8" w:customStyle="1">
    <w:name w:val="Grid Table 6 Colorful - Accent 3"/>
    <w:basedOn w:val="727"/>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9" w:customStyle="1">
    <w:name w:val="Grid Table 6 Colorful - Accent 4"/>
    <w:basedOn w:val="72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0" w:customStyle="1">
    <w:name w:val="Grid Table 6 Colorful - Accent 5"/>
    <w:basedOn w:val="727"/>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1" w:customStyle="1">
    <w:name w:val="Grid Table 6 Colorful - Accent 6"/>
    <w:basedOn w:val="727"/>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2" w:customStyle="1">
    <w:name w:val="网格表 7 彩色1"/>
    <w:basedOn w:val="72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27"/>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27"/>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27"/>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27"/>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27"/>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27"/>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2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27"/>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27"/>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27"/>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27"/>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27"/>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27"/>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清单表 21"/>
    <w:basedOn w:val="72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basedOn w:val="727"/>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58" w:customStyle="1">
    <w:name w:val="List Table 2 - Accent 2"/>
    <w:basedOn w:val="72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9" w:customStyle="1">
    <w:name w:val="List Table 2 - Accent 3"/>
    <w:basedOn w:val="727"/>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0" w:customStyle="1">
    <w:name w:val="List Table 2 - Accent 4"/>
    <w:basedOn w:val="727"/>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1" w:customStyle="1">
    <w:name w:val="List Table 2 - Accent 5"/>
    <w:basedOn w:val="727"/>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2" w:customStyle="1">
    <w:name w:val="List Table 2 - Accent 6"/>
    <w:basedOn w:val="727"/>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3" w:customStyle="1">
    <w:name w:val="清单表 31"/>
    <w:basedOn w:val="72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27"/>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5" w:customStyle="1">
    <w:name w:val="List Table 3 - Accent 2"/>
    <w:basedOn w:val="727"/>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27"/>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2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27"/>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27"/>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清单表 41"/>
    <w:basedOn w:val="72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27"/>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2" w:customStyle="1">
    <w:name w:val="List Table 4 - Accent 2"/>
    <w:basedOn w:val="727"/>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3" w:customStyle="1">
    <w:name w:val="List Table 4 - Accent 3"/>
    <w:basedOn w:val="727"/>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4" w:customStyle="1">
    <w:name w:val="List Table 4 - Accent 4"/>
    <w:basedOn w:val="727"/>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5" w:customStyle="1">
    <w:name w:val="List Table 4 - Accent 5"/>
    <w:basedOn w:val="727"/>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76" w:customStyle="1">
    <w:name w:val="List Table 4 - Accent 6"/>
    <w:basedOn w:val="727"/>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7" w:customStyle="1">
    <w:name w:val="清单表 5 深色1"/>
    <w:basedOn w:val="72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basedOn w:val="727"/>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basedOn w:val="727"/>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basedOn w:val="727"/>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basedOn w:val="727"/>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basedOn w:val="727"/>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basedOn w:val="727"/>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4" w:customStyle="1">
    <w:name w:val="清单表 6 彩色1"/>
    <w:basedOn w:val="72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basedOn w:val="727"/>
    <w:uiPriority w:val="99"/>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86" w:customStyle="1">
    <w:name w:val="List Table 6 Colorful - Accent 2"/>
    <w:basedOn w:val="727"/>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7" w:customStyle="1">
    <w:name w:val="List Table 6 Colorful - Accent 3"/>
    <w:basedOn w:val="727"/>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8" w:customStyle="1">
    <w:name w:val="List Table 6 Colorful - Accent 4"/>
    <w:basedOn w:val="727"/>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9" w:customStyle="1">
    <w:name w:val="List Table 6 Colorful - Accent 5"/>
    <w:basedOn w:val="727"/>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90" w:customStyle="1">
    <w:name w:val="List Table 6 Colorful - Accent 6"/>
    <w:basedOn w:val="727"/>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1" w:customStyle="1">
    <w:name w:val="清单表 7 彩色1"/>
    <w:basedOn w:val="72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27"/>
    <w:uiPriority w:val="99"/>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27"/>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27"/>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27"/>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27"/>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27"/>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0" w:customStyle="1">
    <w:name w:val="Lined - Accent 2"/>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1" w:customStyle="1">
    <w:name w:val="Lined - Accent 3"/>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3" w:customStyle="1">
    <w:name w:val="Lined - Accent 5"/>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4" w:customStyle="1">
    <w:name w:val="Lined - Accent 6"/>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27"/>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basedOn w:val="727"/>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7" w:customStyle="1">
    <w:name w:val="Bordered &amp; Lined - Accent 2"/>
    <w:basedOn w:val="727"/>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8" w:customStyle="1">
    <w:name w:val="Bordered &amp; Lined - Accent 3"/>
    <w:basedOn w:val="727"/>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27"/>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0" w:customStyle="1">
    <w:name w:val="Bordered &amp; Lined - Accent 5"/>
    <w:basedOn w:val="727"/>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1" w:customStyle="1">
    <w:name w:val="Bordered &amp; Lined - Accent 6"/>
    <w:basedOn w:val="727"/>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27"/>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basedOn w:val="727"/>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4" w:customStyle="1">
    <w:name w:val="Bordered - Accent 2"/>
    <w:basedOn w:val="72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5" w:customStyle="1">
    <w:name w:val="Bordered - Accent 3"/>
    <w:basedOn w:val="72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2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7" w:customStyle="1">
    <w:name w:val="Bordered - Accent 5"/>
    <w:basedOn w:val="727"/>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18" w:customStyle="1">
    <w:name w:val="Bordered - Accent 6"/>
    <w:basedOn w:val="72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Footnote Text Char"/>
    <w:uiPriority w:val="99"/>
    <w:rPr>
      <w:sz w:val="18"/>
    </w:rPr>
  </w:style>
  <w:style w:type="character" w:styleId="920" w:customStyle="1">
    <w:name w:val="尾注文本 字符"/>
    <w:link w:val="746"/>
    <w:uiPriority w:val="99"/>
    <w:rPr>
      <w:sz w:val="20"/>
    </w:rPr>
  </w:style>
  <w:style w:type="paragraph" w:styleId="921" w:customStyle="1">
    <w:name w:val="TOC 标题1"/>
    <w:uiPriority w:val="39"/>
    <w:unhideWhenUsed/>
    <w:rPr>
      <w:rFonts w:asciiTheme="minorHAnsi" w:hAnsiTheme="minorHAnsi" w:eastAsiaTheme="minorEastAsia" w:cstheme="minorBidi"/>
    </w:rPr>
  </w:style>
  <w:style w:type="character" w:styleId="922" w:customStyle="1">
    <w:name w:val="页眉 字符"/>
    <w:basedOn w:val="726"/>
    <w:link w:val="749"/>
    <w:uiPriority w:val="99"/>
    <w:rPr>
      <w:sz w:val="18"/>
      <w:szCs w:val="18"/>
    </w:rPr>
  </w:style>
  <w:style w:type="character" w:styleId="923" w:customStyle="1">
    <w:name w:val="页脚 字符"/>
    <w:basedOn w:val="726"/>
    <w:link w:val="748"/>
    <w:uiPriority w:val="99"/>
    <w:rPr>
      <w:sz w:val="18"/>
      <w:szCs w:val="18"/>
    </w:rPr>
  </w:style>
  <w:style w:type="character" w:styleId="924" w:customStyle="1">
    <w:name w:val="标题 1 字符"/>
    <w:basedOn w:val="726"/>
    <w:uiPriority w:val="9"/>
    <w:rPr>
      <w:b/>
      <w:bCs/>
      <w:sz w:val="44"/>
      <w:szCs w:val="44"/>
    </w:rPr>
  </w:style>
  <w:style w:type="character" w:styleId="925" w:customStyle="1">
    <w:name w:val="标题 2 字符"/>
    <w:basedOn w:val="726"/>
    <w:uiPriority w:val="9"/>
    <w:semiHidden/>
    <w:rPr>
      <w:rFonts w:asciiTheme="majorHAnsi" w:hAnsiTheme="majorHAnsi" w:eastAsiaTheme="majorEastAsia" w:cstheme="majorBidi"/>
      <w:b/>
      <w:bCs/>
      <w:sz w:val="32"/>
      <w:szCs w:val="32"/>
    </w:rPr>
  </w:style>
  <w:style w:type="character" w:styleId="926" w:customStyle="1">
    <w:name w:val="标题 3 字符"/>
    <w:basedOn w:val="726"/>
    <w:uiPriority w:val="9"/>
    <w:semiHidden/>
    <w:rPr>
      <w:b/>
      <w:bCs/>
      <w:sz w:val="32"/>
      <w:szCs w:val="32"/>
    </w:rPr>
  </w:style>
  <w:style w:type="character" w:styleId="927" w:customStyle="1">
    <w:name w:val="标题 4 字符"/>
    <w:basedOn w:val="726"/>
    <w:uiPriority w:val="9"/>
    <w:semiHidden/>
    <w:rPr>
      <w:rFonts w:asciiTheme="majorHAnsi" w:hAnsiTheme="majorHAnsi" w:eastAsiaTheme="majorEastAsia" w:cstheme="majorBidi"/>
      <w:b/>
      <w:bCs/>
      <w:sz w:val="28"/>
      <w:szCs w:val="28"/>
    </w:rPr>
  </w:style>
  <w:style w:type="character" w:styleId="928" w:customStyle="1">
    <w:name w:val="标题 5 字符"/>
    <w:basedOn w:val="726"/>
    <w:uiPriority w:val="9"/>
    <w:semiHidden/>
    <w:rPr>
      <w:b/>
      <w:bCs/>
      <w:sz w:val="28"/>
      <w:szCs w:val="28"/>
    </w:rPr>
  </w:style>
  <w:style w:type="character" w:styleId="929" w:customStyle="1">
    <w:name w:val="标题 6 字符"/>
    <w:basedOn w:val="726"/>
    <w:uiPriority w:val="9"/>
    <w:semiHidden/>
    <w:rPr>
      <w:rFonts w:asciiTheme="majorHAnsi" w:hAnsiTheme="majorHAnsi" w:eastAsiaTheme="majorEastAsia" w:cstheme="majorBidi"/>
      <w:b/>
      <w:bCs/>
      <w:sz w:val="24"/>
      <w:szCs w:val="24"/>
    </w:rPr>
  </w:style>
  <w:style w:type="character" w:styleId="930" w:customStyle="1">
    <w:name w:val="标题 8 字符"/>
    <w:basedOn w:val="726"/>
    <w:semiHidden/>
    <w:rPr>
      <w:rFonts w:asciiTheme="majorHAnsi" w:hAnsiTheme="majorHAnsi" w:eastAsiaTheme="majorEastAsia" w:cstheme="majorBidi"/>
      <w:sz w:val="24"/>
      <w:szCs w:val="24"/>
    </w:rPr>
  </w:style>
  <w:style w:type="character" w:styleId="931" w:customStyle="1">
    <w:name w:val="标题 1 字符1"/>
    <w:link w:val="717"/>
    <w:rPr>
      <w:rFonts w:ascii="Times New Roman" w:hAnsi="Times New Roman" w:eastAsia="楷体_GB2312" w:cs="Times New Roman"/>
      <w:b/>
      <w:sz w:val="44"/>
      <w:szCs w:val="20"/>
      <w:lang w:val="zh-CN" w:eastAsia="zh-CN"/>
    </w:rPr>
  </w:style>
  <w:style w:type="character" w:styleId="932" w:customStyle="1">
    <w:name w:val="标题 2 字符1"/>
    <w:link w:val="718"/>
    <w:rPr>
      <w:rFonts w:ascii="宋体" w:hAnsi="宋体" w:eastAsia="楷体_GB2312" w:cs="Times New Roman"/>
      <w:b/>
      <w:sz w:val="44"/>
      <w:szCs w:val="20"/>
      <w:lang w:val="zh-CN" w:eastAsia="zh-CN"/>
    </w:rPr>
  </w:style>
  <w:style w:type="character" w:styleId="933" w:customStyle="1">
    <w:name w:val="标题 3 字符1"/>
    <w:link w:val="719"/>
    <w:rPr>
      <w:rFonts w:ascii="Times New Roman" w:hAnsi="Times New Roman" w:eastAsia="楷体_GB2312" w:cs="Times New Roman"/>
      <w:b/>
      <w:sz w:val="32"/>
      <w:szCs w:val="20"/>
      <w:lang w:val="zh-CN" w:eastAsia="zh-CN"/>
    </w:rPr>
  </w:style>
  <w:style w:type="character" w:styleId="934" w:customStyle="1">
    <w:name w:val="标题 4 字符1"/>
    <w:link w:val="720"/>
    <w:rPr>
      <w:rFonts w:ascii="Arial" w:hAnsi="Arial" w:eastAsia="黑体" w:cs="Times New Roman"/>
      <w:b/>
      <w:bCs/>
      <w:sz w:val="28"/>
      <w:szCs w:val="28"/>
      <w:lang w:val="zh-CN" w:eastAsia="zh-CN"/>
    </w:rPr>
  </w:style>
  <w:style w:type="character" w:styleId="935" w:customStyle="1">
    <w:name w:val="标题 5 字符1"/>
    <w:link w:val="721"/>
    <w:rPr>
      <w:rFonts w:ascii="宋体" w:hAnsi="宋体" w:eastAsia="宋体" w:cs="Times New Roman"/>
      <w:color w:val="000000"/>
      <w:sz w:val="28"/>
      <w:szCs w:val="20"/>
      <w:lang w:val="zh-CN" w:eastAsia="zh-CN"/>
    </w:rPr>
  </w:style>
  <w:style w:type="character" w:styleId="936" w:customStyle="1">
    <w:name w:val="标题 6 字符1"/>
    <w:link w:val="722"/>
    <w:rPr>
      <w:rFonts w:ascii="宋体" w:hAnsi="宋体" w:eastAsia="宋体" w:cs="Times New Roman"/>
      <w:sz w:val="28"/>
      <w:szCs w:val="20"/>
      <w:lang w:val="zh-CN" w:eastAsia="zh-CN"/>
    </w:rPr>
  </w:style>
  <w:style w:type="character" w:styleId="937" w:customStyle="1">
    <w:name w:val="标题 8 字符1"/>
    <w:link w:val="724"/>
    <w:rPr>
      <w:rFonts w:ascii="Arial" w:hAnsi="Arial" w:eastAsia="黑体" w:cs="Times New Roman"/>
      <w:sz w:val="24"/>
      <w:szCs w:val="24"/>
      <w:lang w:val="zh-CN" w:eastAsia="zh-CN"/>
    </w:rPr>
  </w:style>
  <w:style w:type="character" w:styleId="938" w:customStyle="1">
    <w:name w:val="正文缩进 字符1"/>
    <w:link w:val="730"/>
    <w:qFormat/>
    <w:rPr>
      <w:rFonts w:ascii="Calibri" w:hAnsi="Calibri" w:eastAsia="宋体" w:cs="Times New Roman"/>
      <w:sz w:val="20"/>
      <w:szCs w:val="20"/>
      <w:lang w:val="zh-CN" w:eastAsia="zh-CN"/>
    </w:rPr>
  </w:style>
  <w:style w:type="character" w:styleId="939" w:customStyle="1">
    <w:name w:val="文档结构图 字符"/>
    <w:basedOn w:val="726"/>
    <w:uiPriority w:val="99"/>
    <w:semiHidden/>
    <w:rPr>
      <w:rFonts w:ascii="Microsoft YaHei UI" w:eastAsia="Microsoft YaHei UI"/>
      <w:sz w:val="18"/>
      <w:szCs w:val="18"/>
    </w:rPr>
  </w:style>
  <w:style w:type="character" w:styleId="940" w:customStyle="1">
    <w:name w:val="文档结构图 字符1"/>
    <w:link w:val="734"/>
    <w:rPr>
      <w:rFonts w:ascii="Times New Roman" w:hAnsi="Times New Roman" w:eastAsia="宋体" w:cs="Times New Roman"/>
      <w:sz w:val="24"/>
      <w:szCs w:val="24"/>
      <w:shd w:val="clear" w:color="auto" w:fill="000080"/>
      <w:lang w:val="zh-CN" w:eastAsia="zh-CN"/>
    </w:rPr>
  </w:style>
  <w:style w:type="character" w:styleId="941" w:customStyle="1">
    <w:name w:val="批注文字 字符"/>
    <w:basedOn w:val="726"/>
    <w:uiPriority w:val="99"/>
    <w:semiHidden/>
  </w:style>
  <w:style w:type="character" w:styleId="942" w:customStyle="1">
    <w:name w:val="批注文字 字符1"/>
    <w:link w:val="735"/>
    <w:uiPriority w:val="99"/>
    <w:qFormat/>
    <w:rPr>
      <w:rFonts w:ascii="Times New Roman" w:hAnsi="Times New Roman" w:eastAsia="宋体" w:cs="Times New Roman"/>
      <w:sz w:val="24"/>
      <w:szCs w:val="24"/>
      <w:lang w:val="zh-CN" w:eastAsia="zh-CN"/>
    </w:rPr>
  </w:style>
  <w:style w:type="character" w:styleId="943" w:customStyle="1">
    <w:name w:val="正文文本 3 字符"/>
    <w:basedOn w:val="726"/>
    <w:uiPriority w:val="99"/>
    <w:semiHidden/>
    <w:rPr>
      <w:sz w:val="16"/>
      <w:szCs w:val="16"/>
    </w:rPr>
  </w:style>
  <w:style w:type="character" w:styleId="944" w:customStyle="1">
    <w:name w:val="正文文本 3 字符1"/>
    <w:link w:val="736"/>
    <w:qFormat/>
    <w:rPr>
      <w:rFonts w:ascii="Times New Roman" w:hAnsi="Times New Roman" w:eastAsia="楷体_GB2312" w:cs="Times New Roman"/>
      <w:sz w:val="16"/>
      <w:szCs w:val="16"/>
      <w:lang w:val="zh-CN" w:eastAsia="zh-CN"/>
    </w:rPr>
  </w:style>
  <w:style w:type="character" w:styleId="945" w:customStyle="1">
    <w:name w:val="正文文本 字符"/>
    <w:basedOn w:val="726"/>
    <w:uiPriority w:val="99"/>
    <w:semiHidden/>
    <w:qFormat/>
  </w:style>
  <w:style w:type="character" w:styleId="946" w:customStyle="1">
    <w:name w:val="正文文本 字符1"/>
    <w:link w:val="737"/>
    <w:rPr>
      <w:rFonts w:ascii="Times New Roman" w:hAnsi="Times New Roman" w:eastAsia="宋体" w:cs="Times New Roman"/>
      <w:sz w:val="24"/>
      <w:szCs w:val="20"/>
      <w:lang w:val="zh-CN" w:eastAsia="zh-CN"/>
    </w:rPr>
  </w:style>
  <w:style w:type="character" w:styleId="947" w:customStyle="1">
    <w:name w:val="正文文本缩进 字符"/>
    <w:basedOn w:val="726"/>
    <w:uiPriority w:val="99"/>
    <w:semiHidden/>
    <w:qFormat/>
  </w:style>
  <w:style w:type="character" w:styleId="948" w:customStyle="1">
    <w:name w:val="正文文本缩进 字符1"/>
    <w:link w:val="738"/>
    <w:rPr>
      <w:rFonts w:ascii="Times New Roman" w:hAnsi="Times New Roman" w:eastAsia="宋体" w:cs="Times New Roman"/>
      <w:sz w:val="24"/>
      <w:szCs w:val="24"/>
      <w:lang w:val="zh-CN" w:eastAsia="zh-CN"/>
    </w:rPr>
  </w:style>
  <w:style w:type="paragraph" w:styleId="949" w:customStyle="1">
    <w:name w:val="_Style 48"/>
    <w:basedOn w:val="716"/>
    <w:next w:val="950"/>
    <w:qFormat/>
    <w:pPr>
      <w:jc w:val="left"/>
      <w:spacing w:before="100" w:beforeAutospacing="1" w:after="100" w:afterAutospacing="1"/>
      <w:widowControl/>
    </w:pPr>
    <w:rPr>
      <w:rFonts w:ascii="宋体" w:hAnsi="宋体" w:eastAsia="宋体" w:cs="Times New Roman"/>
      <w:sz w:val="24"/>
      <w:szCs w:val="24"/>
      <w:lang w:val="zh-CN"/>
    </w:rPr>
  </w:style>
  <w:style w:type="paragraph" w:styleId="950">
    <w:name w:val="List Paragraph"/>
    <w:basedOn w:val="716"/>
    <w:link w:val="989"/>
    <w:qFormat/>
    <w:pPr>
      <w:ind w:firstLine="420"/>
    </w:pPr>
    <w:rPr>
      <w:rFonts w:ascii="宋体" w:hAnsi="宋体" w:cs="宋体"/>
      <w:sz w:val="24"/>
      <w:szCs w:val="24"/>
    </w:rPr>
  </w:style>
  <w:style w:type="character" w:styleId="951" w:customStyle="1">
    <w:name w:val="纯文本 字符"/>
    <w:basedOn w:val="726"/>
    <w:rPr>
      <w:rFonts w:hAnsi="Courier New" w:cs="Courier New" w:asciiTheme="minorEastAsia"/>
    </w:rPr>
  </w:style>
  <w:style w:type="character" w:styleId="952" w:customStyle="1">
    <w:name w:val="纯文本 字符1"/>
    <w:link w:val="742"/>
    <w:uiPriority w:val="99"/>
    <w:qFormat/>
    <w:rPr>
      <w:rFonts w:ascii="宋体" w:hAnsi="Courier New" w:eastAsia="宋体" w:cs="Times New Roman"/>
      <w:sz w:val="20"/>
      <w:szCs w:val="21"/>
      <w:lang w:val="zh-CN" w:eastAsia="zh-CN"/>
    </w:rPr>
  </w:style>
  <w:style w:type="character" w:styleId="953" w:customStyle="1">
    <w:name w:val="日期 字符"/>
    <w:basedOn w:val="726"/>
    <w:qFormat/>
  </w:style>
  <w:style w:type="character" w:styleId="954" w:customStyle="1">
    <w:name w:val="日期 字符1"/>
    <w:link w:val="744"/>
    <w:uiPriority w:val="99"/>
    <w:rPr>
      <w:rFonts w:ascii="Times New Roman" w:hAnsi="Times New Roman" w:eastAsia="宋体" w:cs="Times New Roman"/>
      <w:sz w:val="24"/>
      <w:szCs w:val="24"/>
      <w:lang w:val="zh-CN" w:eastAsia="zh-CN"/>
    </w:rPr>
  </w:style>
  <w:style w:type="character" w:styleId="955" w:customStyle="1">
    <w:name w:val="正文文本缩进 2 字符"/>
    <w:basedOn w:val="726"/>
    <w:uiPriority w:val="99"/>
    <w:semiHidden/>
  </w:style>
  <w:style w:type="character" w:styleId="956" w:customStyle="1">
    <w:name w:val="正文文本缩进 2 字符1"/>
    <w:link w:val="745"/>
    <w:rPr>
      <w:rFonts w:ascii="Times New Roman" w:hAnsi="Times New Roman" w:eastAsia="楷体_GB2312" w:cs="Times New Roman"/>
      <w:sz w:val="28"/>
      <w:szCs w:val="20"/>
      <w:lang w:val="zh-CN" w:eastAsia="zh-CN"/>
    </w:rPr>
  </w:style>
  <w:style w:type="character" w:styleId="957" w:customStyle="1">
    <w:name w:val="批注框文本 字符"/>
    <w:basedOn w:val="726"/>
    <w:qFormat/>
    <w:rPr>
      <w:sz w:val="18"/>
      <w:szCs w:val="18"/>
    </w:rPr>
  </w:style>
  <w:style w:type="character" w:styleId="958" w:customStyle="1">
    <w:name w:val="批注框文本 字符1"/>
    <w:link w:val="747"/>
    <w:qFormat/>
    <w:rPr>
      <w:rFonts w:ascii="Times New Roman" w:hAnsi="Times New Roman" w:eastAsia="宋体" w:cs="Times New Roman"/>
      <w:sz w:val="18"/>
      <w:szCs w:val="18"/>
      <w:lang w:val="zh-CN" w:eastAsia="zh-CN"/>
    </w:rPr>
  </w:style>
  <w:style w:type="character" w:styleId="959" w:customStyle="1">
    <w:name w:val="页脚 Char"/>
    <w:uiPriority w:val="99"/>
    <w:semiHidden/>
    <w:qFormat/>
    <w:rPr>
      <w:sz w:val="18"/>
      <w:szCs w:val="18"/>
    </w:rPr>
  </w:style>
  <w:style w:type="character" w:styleId="960" w:customStyle="1">
    <w:name w:val="页眉 Char"/>
    <w:uiPriority w:val="99"/>
    <w:qFormat/>
    <w:rPr>
      <w:sz w:val="18"/>
      <w:szCs w:val="18"/>
      <w:lang w:val="zh-CN" w:eastAsia="zh-CN"/>
    </w:rPr>
  </w:style>
  <w:style w:type="character" w:styleId="961" w:customStyle="1">
    <w:name w:val="脚注文本 字符"/>
    <w:basedOn w:val="726"/>
    <w:uiPriority w:val="99"/>
    <w:semiHidden/>
    <w:qFormat/>
    <w:rPr>
      <w:sz w:val="18"/>
      <w:szCs w:val="18"/>
    </w:rPr>
  </w:style>
  <w:style w:type="character" w:styleId="962" w:customStyle="1">
    <w:name w:val="脚注文本 字符1"/>
    <w:link w:val="753"/>
    <w:qFormat/>
    <w:rPr>
      <w:rFonts w:ascii="Times New Roman" w:hAnsi="Times New Roman" w:eastAsia="宋体" w:cs="Times New Roman"/>
      <w:sz w:val="18"/>
      <w:szCs w:val="18"/>
      <w:lang w:val="zh-CN" w:eastAsia="zh-CN"/>
    </w:rPr>
  </w:style>
  <w:style w:type="character" w:styleId="963" w:customStyle="1">
    <w:name w:val="正文文本缩进 3 字符"/>
    <w:basedOn w:val="726"/>
    <w:uiPriority w:val="99"/>
    <w:semiHidden/>
    <w:qFormat/>
    <w:rPr>
      <w:sz w:val="16"/>
      <w:szCs w:val="16"/>
    </w:rPr>
  </w:style>
  <w:style w:type="character" w:styleId="964" w:customStyle="1">
    <w:name w:val="正文文本缩进 3 字符1"/>
    <w:link w:val="755"/>
    <w:uiPriority w:val="99"/>
    <w:qFormat/>
    <w:rPr>
      <w:rFonts w:ascii="Times New Roman" w:hAnsi="Times New Roman" w:eastAsia="宋体" w:cs="Times New Roman"/>
      <w:sz w:val="16"/>
      <w:szCs w:val="16"/>
      <w:lang w:val="zh-CN" w:eastAsia="zh-CN"/>
    </w:rPr>
  </w:style>
  <w:style w:type="character" w:styleId="965" w:customStyle="1">
    <w:name w:val="正文文本 2 字符"/>
    <w:basedOn w:val="726"/>
    <w:uiPriority w:val="99"/>
    <w:semiHidden/>
    <w:qFormat/>
  </w:style>
  <w:style w:type="character" w:styleId="966" w:customStyle="1">
    <w:name w:val="正文文本 2 字符1"/>
    <w:link w:val="759"/>
    <w:rPr>
      <w:rFonts w:ascii="Times New Roman" w:hAnsi="Times New Roman" w:eastAsia="宋体" w:cs="Times New Roman"/>
      <w:sz w:val="15"/>
      <w:szCs w:val="24"/>
      <w:lang w:val="zh-CN" w:eastAsia="zh-CN"/>
    </w:rPr>
  </w:style>
  <w:style w:type="character" w:styleId="967" w:customStyle="1">
    <w:name w:val="HTML 预设格式 字符"/>
    <w:basedOn w:val="726"/>
    <w:uiPriority w:val="99"/>
    <w:semiHidden/>
    <w:rPr>
      <w:rFonts w:ascii="Courier New" w:hAnsi="Courier New" w:cs="Courier New"/>
      <w:sz w:val="20"/>
      <w:szCs w:val="20"/>
    </w:rPr>
  </w:style>
  <w:style w:type="character" w:styleId="968" w:customStyle="1">
    <w:name w:val="HTML 预设格式 字符1"/>
    <w:link w:val="761"/>
    <w:rPr>
      <w:rFonts w:ascii="Arial" w:hAnsi="Arial" w:eastAsia="宋体" w:cs="Times New Roman"/>
      <w:sz w:val="24"/>
      <w:szCs w:val="24"/>
      <w:lang w:val="zh-CN" w:eastAsia="zh-CN"/>
    </w:rPr>
  </w:style>
  <w:style w:type="character" w:styleId="969" w:customStyle="1">
    <w:name w:val="标题 字符"/>
    <w:basedOn w:val="726"/>
    <w:uiPriority w:val="10"/>
    <w:rPr>
      <w:rFonts w:asciiTheme="majorHAnsi" w:hAnsiTheme="majorHAnsi" w:eastAsiaTheme="majorEastAsia" w:cstheme="majorBidi"/>
      <w:b/>
      <w:bCs/>
      <w:sz w:val="32"/>
      <w:szCs w:val="32"/>
    </w:rPr>
  </w:style>
  <w:style w:type="character" w:styleId="970" w:customStyle="1">
    <w:name w:val="标题 字符1"/>
    <w:link w:val="764"/>
    <w:rPr>
      <w:rFonts w:ascii="Cambria" w:hAnsi="Cambria" w:eastAsia="宋体" w:cs="Times New Roman"/>
      <w:b/>
      <w:bCs/>
      <w:sz w:val="32"/>
      <w:szCs w:val="32"/>
      <w:lang w:val="zh-CN" w:eastAsia="zh-CN"/>
    </w:rPr>
  </w:style>
  <w:style w:type="character" w:styleId="971" w:customStyle="1">
    <w:name w:val="批注主题 字符"/>
    <w:basedOn w:val="941"/>
    <w:uiPriority w:val="99"/>
    <w:semiHidden/>
    <w:rPr>
      <w:b/>
      <w:bCs/>
    </w:rPr>
  </w:style>
  <w:style w:type="character" w:styleId="972" w:customStyle="1">
    <w:name w:val="批注主题 字符1"/>
    <w:link w:val="765"/>
    <w:rPr>
      <w:rFonts w:ascii="Times New Roman" w:hAnsi="Times New Roman" w:eastAsia="楷体_GB2312" w:cs="Times New Roman"/>
      <w:b/>
      <w:bCs/>
      <w:sz w:val="28"/>
      <w:szCs w:val="24"/>
      <w:lang w:val="zh-CN" w:eastAsia="zh-CN"/>
    </w:rPr>
  </w:style>
  <w:style w:type="character" w:styleId="973" w:customStyle="1">
    <w:name w:val="正文首行缩进 2 Char1"/>
    <w:uiPriority w:val="99"/>
    <w:semiHidden/>
  </w:style>
  <w:style w:type="paragraph" w:styleId="974" w:customStyle="1">
    <w:name w:val="段"/>
    <w:next w:val="716"/>
    <w:qFormat/>
    <w:pPr>
      <w:ind w:firstLine="200"/>
      <w:jc w:val="both"/>
    </w:pPr>
    <w:rPr>
      <w:rFonts w:ascii="宋体"/>
      <w:sz w:val="21"/>
    </w:rPr>
  </w:style>
  <w:style w:type="character" w:styleId="975" w:customStyle="1">
    <w:name w:val="批注文字 Char"/>
    <w:rPr>
      <w:rFonts w:eastAsia="楷体_GB2312"/>
      <w:sz w:val="28"/>
    </w:rPr>
  </w:style>
  <w:style w:type="character" w:styleId="976" w:customStyle="1">
    <w:name w:val="纯文本 Char"/>
    <w:rPr>
      <w:rFonts w:ascii="宋体" w:hAnsi="Courier New" w:eastAsia="宋体"/>
    </w:rPr>
  </w:style>
  <w:style w:type="character" w:styleId="977" w:customStyle="1">
    <w:name w:val="日期 Char"/>
    <w:rPr>
      <w:sz w:val="24"/>
      <w:szCs w:val="24"/>
    </w:rPr>
  </w:style>
  <w:style w:type="character" w:styleId="978" w:customStyle="1">
    <w:name w:val="正文文本缩进 3 Char"/>
    <w:link w:val="979"/>
    <w:qFormat/>
    <w:rPr>
      <w:rFonts w:eastAsia="宋体"/>
      <w:sz w:val="24"/>
      <w:szCs w:val="24"/>
    </w:rPr>
  </w:style>
  <w:style w:type="paragraph" w:styleId="979" w:customStyle="1">
    <w:name w:val="正文文本缩进 31"/>
    <w:basedOn w:val="716"/>
    <w:link w:val="978"/>
    <w:qFormat/>
    <w:pPr>
      <w:ind w:firstLine="617"/>
      <w:spacing w:line="360" w:lineRule="auto"/>
    </w:pPr>
    <w:rPr>
      <w:rFonts w:eastAsia="宋体"/>
      <w:sz w:val="24"/>
      <w:szCs w:val="24"/>
    </w:rPr>
  </w:style>
  <w:style w:type="character" w:styleId="980" w:customStyle="1">
    <w:name w:val="标题 Char"/>
    <w:uiPriority w:val="10"/>
    <w:rPr>
      <w:rFonts w:ascii="Cambria" w:hAnsi="Cambria" w:cs="Times New Roman"/>
      <w:b/>
      <w:bCs/>
      <w:sz w:val="32"/>
      <w:szCs w:val="32"/>
    </w:rPr>
  </w:style>
  <w:style w:type="character" w:styleId="981" w:customStyle="1">
    <w:name w:val="正文首行缩进 2 Char"/>
    <w:rPr>
      <w:rFonts w:eastAsia="楷体_GB2312"/>
      <w:sz w:val="28"/>
    </w:rPr>
  </w:style>
  <w:style w:type="character" w:styleId="982" w:customStyle="1">
    <w:name w:val="Plain Text Char"/>
    <w:link w:val="983"/>
    <w:qFormat/>
    <w:rPr>
      <w:rFonts w:ascii="宋体" w:hAnsi="Courier New" w:eastAsia="楷体_GB2312"/>
      <w:sz w:val="26"/>
    </w:rPr>
  </w:style>
  <w:style w:type="paragraph" w:styleId="983" w:customStyle="1">
    <w:name w:val="纯文本3"/>
    <w:basedOn w:val="716"/>
    <w:link w:val="982"/>
    <w:qFormat/>
    <w:rPr>
      <w:rFonts w:ascii="宋体" w:hAnsi="Courier New" w:eastAsia="楷体_GB2312"/>
      <w:sz w:val="26"/>
    </w:rPr>
  </w:style>
  <w:style w:type="character" w:styleId="984" w:customStyle="1">
    <w:name w:val="Andy_正文 Char"/>
    <w:link w:val="985"/>
    <w:qFormat/>
  </w:style>
  <w:style w:type="paragraph" w:styleId="985" w:customStyle="1">
    <w:name w:val="Andy_正文"/>
    <w:basedOn w:val="716"/>
    <w:link w:val="984"/>
    <w:qFormat/>
    <w:pPr>
      <w:ind w:firstLine="480"/>
      <w:spacing w:line="360" w:lineRule="auto"/>
    </w:pPr>
  </w:style>
  <w:style w:type="character" w:styleId="986" w:customStyle="1">
    <w:name w:val="font31"/>
    <w:qFormat/>
    <w:rPr>
      <w:rFonts w:hint="default" w:ascii="Times New Roman" w:hAnsi="Times New Roman" w:cs="Times New Roman"/>
      <w:color w:val="000000"/>
      <w:sz w:val="22"/>
      <w:szCs w:val="22"/>
      <w:u w:val="none"/>
    </w:rPr>
  </w:style>
  <w:style w:type="character" w:styleId="987" w:customStyle="1">
    <w:name w:val="正文双线 Char"/>
    <w:qFormat/>
    <w:rPr>
      <w:rFonts w:eastAsia="楷体_GB2312"/>
      <w:sz w:val="24"/>
    </w:rPr>
  </w:style>
  <w:style w:type="character" w:styleId="988" w:customStyle="1">
    <w:name w:val="op-map-singlepoint-info-right1"/>
    <w:qFormat/>
  </w:style>
  <w:style w:type="character" w:styleId="989" w:customStyle="1">
    <w:name w:val="列表段落 字符"/>
    <w:link w:val="950"/>
    <w:qFormat/>
    <w:rPr>
      <w:rFonts w:ascii="宋体" w:hAnsi="宋体" w:cs="宋体"/>
      <w:sz w:val="24"/>
      <w:szCs w:val="24"/>
    </w:rPr>
  </w:style>
  <w:style w:type="character" w:styleId="990" w:customStyle="1">
    <w:name w:val="apple-converted-space"/>
  </w:style>
  <w:style w:type="character" w:styleId="991" w:customStyle="1">
    <w:name w:val="font41"/>
    <w:qFormat/>
    <w:rPr>
      <w:rFonts w:hint="default" w:ascii="Times New Roman" w:hAnsi="Times New Roman" w:cs="Times New Roman"/>
      <w:color w:val="000000"/>
      <w:sz w:val="20"/>
      <w:szCs w:val="20"/>
      <w:u w:val="none"/>
    </w:rPr>
  </w:style>
  <w:style w:type="character" w:styleId="992" w:customStyle="1">
    <w:name w:val="表正文 Char"/>
    <w:rPr>
      <w:rFonts w:eastAsia="宋体"/>
      <w:sz w:val="21"/>
      <w:lang w:val="en-US" w:eastAsia="zh-CN" w:bidi="ar-SA"/>
    </w:rPr>
  </w:style>
  <w:style w:type="character" w:styleId="993" w:customStyle="1">
    <w:name w:val="headline-content2"/>
    <w:qFormat/>
  </w:style>
  <w:style w:type="character" w:styleId="994" w:customStyle="1">
    <w:name w:val="Plain Text Char Char"/>
    <w:link w:val="995"/>
    <w:qFormat/>
    <w:rPr>
      <w:rFonts w:ascii="宋体" w:hAnsi="Courier New" w:eastAsia="楷体_GB2312"/>
      <w:sz w:val="26"/>
    </w:rPr>
  </w:style>
  <w:style w:type="paragraph" w:styleId="995" w:customStyle="1">
    <w:name w:val="纯文本1"/>
    <w:basedOn w:val="716"/>
    <w:link w:val="994"/>
    <w:qFormat/>
    <w:pPr>
      <w:jc w:val="left"/>
      <w:widowControl/>
    </w:pPr>
    <w:rPr>
      <w:rFonts w:ascii="宋体" w:hAnsi="Courier New" w:eastAsia="楷体_GB2312"/>
      <w:sz w:val="26"/>
    </w:rPr>
  </w:style>
  <w:style w:type="character" w:styleId="996" w:customStyle="1">
    <w:name w:val="zihao_18 jiacu"/>
    <w:qFormat/>
  </w:style>
  <w:style w:type="paragraph" w:styleId="997" w:customStyle="1">
    <w:name w:val="xl71"/>
    <w:basedOn w:val="71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98" w:customStyle="1">
    <w:name w:val="目录1"/>
    <w:basedOn w:val="716"/>
    <w:next w:val="716"/>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99" w:customStyle="1">
    <w:name w:val="xl66"/>
    <w:basedOn w:val="71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0" w:customStyle="1">
    <w:name w:val="xl40"/>
    <w:basedOn w:val="716"/>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01" w:customStyle="1">
    <w:name w:val="font8"/>
    <w:basedOn w:val="716"/>
    <w:qFormat/>
    <w:pPr>
      <w:jc w:val="left"/>
      <w:spacing w:before="100" w:beforeAutospacing="1" w:after="100" w:afterAutospacing="1"/>
      <w:widowControl/>
    </w:pPr>
    <w:rPr>
      <w:rFonts w:ascii="Times New Roman" w:hAnsi="Times New Roman" w:eastAsia="宋体" w:cs="Times New Roman"/>
      <w:sz w:val="24"/>
      <w:szCs w:val="24"/>
    </w:rPr>
  </w:style>
  <w:style w:type="paragraph" w:styleId="1002" w:customStyle="1">
    <w:name w:val="font7"/>
    <w:basedOn w:val="716"/>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03" w:customStyle="1">
    <w:name w:val="xl29"/>
    <w:basedOn w:val="716"/>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1004" w:customStyle="1">
    <w:name w:val="Char Char1 Char Char Char"/>
    <w:basedOn w:val="734"/>
    <w:qFormat/>
    <w:pPr>
      <w:jc w:val="both"/>
      <w:spacing w:line="360" w:lineRule="auto"/>
      <w:widowControl w:val="off"/>
    </w:pPr>
    <w:rPr>
      <w:rFonts w:ascii="Tahoma" w:hAnsi="Tahoma"/>
    </w:rPr>
  </w:style>
  <w:style w:type="paragraph" w:styleId="1005" w:customStyle="1">
    <w:name w:val="xl43"/>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06" w:customStyle="1">
    <w:name w:val="纯文本1111"/>
    <w:basedOn w:val="716"/>
    <w:qFormat/>
    <w:rPr>
      <w:rFonts w:hint="eastAsia" w:ascii="宋体" w:hAnsi="Courier New" w:eastAsia="楷体_GB2312" w:cs="Times New Roman"/>
      <w:sz w:val="28"/>
      <w:szCs w:val="20"/>
    </w:rPr>
  </w:style>
  <w:style w:type="paragraph" w:styleId="1007" w:customStyle="1">
    <w:name w:val="_Style 7"/>
    <w:basedOn w:val="716"/>
    <w:next w:val="950"/>
    <w:uiPriority w:val="34"/>
    <w:qFormat/>
    <w:pPr>
      <w:ind w:firstLine="420"/>
      <w:jc w:val="left"/>
      <w:widowControl/>
    </w:pPr>
    <w:rPr>
      <w:rFonts w:ascii="Calibri" w:hAnsi="Calibri" w:eastAsia="宋体" w:cs="Times New Roman"/>
      <w:sz w:val="24"/>
    </w:rPr>
  </w:style>
  <w:style w:type="paragraph" w:styleId="1008" w:customStyle="1">
    <w:name w:val="xl41"/>
    <w:basedOn w:val="7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09" w:customStyle="1">
    <w:name w:val="节标题"/>
    <w:basedOn w:val="716"/>
    <w:next w:val="716"/>
    <w:pPr>
      <w:jc w:val="center"/>
      <w:spacing w:line="867" w:lineRule="atLeast"/>
      <w:widowControl/>
    </w:pPr>
    <w:rPr>
      <w:rFonts w:ascii="Times New Roman" w:hAnsi="Times New Roman" w:eastAsia="宋体" w:cs="Times New Roman"/>
      <w:color w:val="000000"/>
      <w:sz w:val="28"/>
      <w:szCs w:val="20"/>
    </w:rPr>
  </w:style>
  <w:style w:type="paragraph" w:styleId="1010" w:customStyle="1">
    <w:name w:val="Char Char Char Char Char Char Char Char"/>
    <w:basedOn w:val="734"/>
    <w:qFormat/>
    <w:pPr>
      <w:jc w:val="both"/>
      <w:spacing w:line="360" w:lineRule="auto"/>
      <w:widowControl w:val="off"/>
    </w:pPr>
    <w:rPr>
      <w:rFonts w:ascii="Tahoma" w:hAnsi="Tahoma"/>
    </w:rPr>
  </w:style>
  <w:style w:type="paragraph" w:styleId="1011" w:customStyle="1">
    <w:name w:val="Plain Text1"/>
    <w:basedOn w:val="716"/>
    <w:uiPriority w:val="99"/>
    <w:qFormat/>
    <w:rPr>
      <w:rFonts w:hint="eastAsia" w:ascii="宋体" w:hAnsi="Courier New" w:eastAsia="楷体_GB2312" w:cs="Times New Roman"/>
      <w:sz w:val="28"/>
      <w:szCs w:val="20"/>
    </w:rPr>
  </w:style>
  <w:style w:type="paragraph" w:styleId="1012" w:customStyle="1">
    <w:name w:val="xl34"/>
    <w:basedOn w:val="7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3" w:customStyle="1">
    <w:name w:val="xl36"/>
    <w:basedOn w:val="71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4" w:customStyle="1">
    <w:name w:val="页脚 New New"/>
    <w:basedOn w:val="716"/>
    <w:pPr>
      <w:jc w:val="left"/>
      <w:tabs>
        <w:tab w:val="center" w:pos="4153" w:leader="none"/>
        <w:tab w:val="right" w:pos="8306" w:leader="none"/>
      </w:tabs>
    </w:pPr>
    <w:rPr>
      <w:rFonts w:ascii="Times New Roman" w:hAnsi="Times New Roman" w:eastAsia="宋体" w:cs="Times New Roman"/>
      <w:sz w:val="18"/>
      <w:szCs w:val="18"/>
    </w:rPr>
  </w:style>
  <w:style w:type="paragraph" w:styleId="1015" w:customStyle="1">
    <w:name w:val="_Style 144"/>
    <w:basedOn w:val="734"/>
    <w:pPr>
      <w:spacing w:line="360" w:lineRule="auto"/>
    </w:pPr>
    <w:rPr>
      <w:rFonts w:eastAsia="楷体_GB2312"/>
      <w:sz w:val="21"/>
      <w:szCs w:val="20"/>
    </w:rPr>
  </w:style>
  <w:style w:type="paragraph" w:styleId="1016" w:customStyle="1">
    <w:name w:val="xl48"/>
    <w:basedOn w:val="716"/>
    <w:pPr>
      <w:jc w:val="center"/>
      <w:spacing w:before="100" w:beforeAutospacing="1" w:after="100" w:afterAutospacing="1"/>
      <w:widowControl/>
    </w:pPr>
    <w:rPr>
      <w:rFonts w:ascii="Times New Roman" w:hAnsi="Times New Roman" w:eastAsia="宋体" w:cs="Times New Roman"/>
      <w:sz w:val="18"/>
      <w:szCs w:val="18"/>
    </w:rPr>
  </w:style>
  <w:style w:type="paragraph" w:styleId="1017" w:customStyle="1">
    <w:name w:val="xl51"/>
    <w:basedOn w:val="71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18" w:customStyle="1">
    <w:name w:val="符号列表"/>
    <w:basedOn w:val="716"/>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19" w:customStyle="1">
    <w:name w:val="xl59"/>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0" w:customStyle="1">
    <w:name w:val="xl45"/>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1" w:customStyle="1">
    <w:name w:val="xl58"/>
    <w:basedOn w:val="71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2" w:customStyle="1">
    <w:name w:val="Char Char1 Char Char Char Char Char Char"/>
    <w:basedOn w:val="716"/>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23" w:customStyle="1">
    <w:name w:val="xl31"/>
    <w:basedOn w:val="716"/>
    <w:pPr>
      <w:jc w:val="center"/>
      <w:spacing w:before="100" w:beforeAutospacing="1" w:after="100" w:afterAutospacing="1"/>
      <w:widowControl/>
    </w:pPr>
    <w:rPr>
      <w:rFonts w:ascii="宋体" w:hAnsi="宋体" w:eastAsia="宋体" w:cs="宋体"/>
      <w:sz w:val="18"/>
      <w:szCs w:val="18"/>
    </w:rPr>
  </w:style>
  <w:style w:type="paragraph" w:styleId="1024" w:customStyle="1">
    <w:name w:val="表格文字"/>
    <w:basedOn w:val="716"/>
    <w:rPr>
      <w:rFonts w:ascii="Times New Roman" w:hAnsi="Times New Roman" w:eastAsia="宋体" w:cs="Times New Roman"/>
      <w:szCs w:val="24"/>
    </w:rPr>
  </w:style>
  <w:style w:type="paragraph" w:styleId="1025" w:customStyle="1">
    <w:name w:val="Char Char Char"/>
    <w:basedOn w:val="716"/>
    <w:rPr>
      <w:rFonts w:ascii="Tahoma" w:hAnsi="Tahoma" w:eastAsia="宋体" w:cs="Times New Roman"/>
      <w:sz w:val="24"/>
      <w:szCs w:val="20"/>
    </w:rPr>
  </w:style>
  <w:style w:type="paragraph" w:styleId="1026" w:customStyle="1">
    <w:name w:val="Char Char Char1 Char Char Char Char"/>
    <w:basedOn w:val="716"/>
    <w:pPr>
      <w:spacing w:after="160" w:line="240" w:lineRule="exact"/>
    </w:pPr>
    <w:rPr>
      <w:rFonts w:ascii="Times New Roman" w:hAnsi="Times New Roman" w:eastAsia="宋体" w:cs="Times New Roman"/>
      <w:szCs w:val="24"/>
    </w:rPr>
  </w:style>
  <w:style w:type="paragraph" w:styleId="1027" w:customStyle="1">
    <w:name w:val="默认段落字体 Para Char Char Char Char Char Char Char"/>
    <w:basedOn w:val="716"/>
    <w:pPr>
      <w:spacing w:line="360" w:lineRule="auto"/>
    </w:pPr>
    <w:rPr>
      <w:rFonts w:ascii="Times New Roman" w:hAnsi="Times New Roman" w:eastAsia="宋体" w:cs="Times New Roman"/>
      <w:sz w:val="24"/>
      <w:szCs w:val="24"/>
    </w:rPr>
  </w:style>
  <w:style w:type="paragraph" w:styleId="1028" w:customStyle="1">
    <w:name w:val="xl61"/>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9"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30" w:customStyle="1">
    <w:name w:val="xl65"/>
    <w:basedOn w:val="71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31" w:customStyle="1">
    <w:name w:val="_Style 29"/>
    <w:basedOn w:val="734"/>
    <w:pPr>
      <w:jc w:val="both"/>
      <w:spacing w:line="360" w:lineRule="auto"/>
      <w:widowControl w:val="off"/>
    </w:pPr>
    <w:rPr>
      <w:rFonts w:ascii="Tahoma" w:hAnsi="Tahoma"/>
    </w:rPr>
  </w:style>
  <w:style w:type="paragraph" w:styleId="1032" w:customStyle="1">
    <w:name w:val="xl55"/>
    <w:basedOn w:val="716"/>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3" w:customStyle="1">
    <w:name w:val="xl38"/>
    <w:basedOn w:val="716"/>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34" w:customStyle="1">
    <w:name w:val="xl33"/>
    <w:basedOn w:val="71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35" w:customStyle="1">
    <w:name w:val="Char1"/>
    <w:basedOn w:val="716"/>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36" w:customStyle="1">
    <w:name w:val="xl32"/>
    <w:basedOn w:val="71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7" w:customStyle="1">
    <w:name w:val="xl50"/>
    <w:basedOn w:val="716"/>
    <w:pPr>
      <w:jc w:val="right"/>
      <w:spacing w:before="100" w:beforeAutospacing="1" w:after="100" w:afterAutospacing="1"/>
      <w:widowControl/>
    </w:pPr>
    <w:rPr>
      <w:rFonts w:ascii="Times New Roman" w:hAnsi="Times New Roman" w:eastAsia="宋体" w:cs="Times New Roman"/>
      <w:sz w:val="18"/>
      <w:szCs w:val="18"/>
    </w:rPr>
  </w:style>
  <w:style w:type="paragraph" w:styleId="1038" w:customStyle="1">
    <w:name w:val="xl28"/>
    <w:basedOn w:val="71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9" w:customStyle="1">
    <w:name w:val="xl47"/>
    <w:basedOn w:val="716"/>
    <w:pPr>
      <w:jc w:val="right"/>
      <w:spacing w:before="100" w:beforeAutospacing="1" w:after="100" w:afterAutospacing="1"/>
      <w:widowControl/>
    </w:pPr>
    <w:rPr>
      <w:rFonts w:ascii="Times New Roman" w:hAnsi="Times New Roman" w:eastAsia="宋体" w:cs="Times New Roman"/>
      <w:sz w:val="18"/>
      <w:szCs w:val="18"/>
    </w:rPr>
  </w:style>
  <w:style w:type="paragraph" w:styleId="1040" w:customStyle="1">
    <w:name w:val="xl35"/>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41" w:customStyle="1">
    <w:name w:val="xl69"/>
    <w:basedOn w:val="71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2" w:customStyle="1">
    <w:name w:val="Char"/>
    <w:basedOn w:val="716"/>
    <w:rPr>
      <w:rFonts w:ascii="Tahoma" w:hAnsi="Tahoma" w:eastAsia="宋体" w:cs="Times New Roman"/>
      <w:sz w:val="24"/>
      <w:szCs w:val="20"/>
    </w:rPr>
  </w:style>
  <w:style w:type="paragraph" w:styleId="1043" w:customStyle="1">
    <w:name w:val="xl53"/>
    <w:basedOn w:val="716"/>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44" w:customStyle="1">
    <w:name w:val="xl26"/>
    <w:basedOn w:val="71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5" w:customStyle="1">
    <w:name w:val="xl27"/>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6" w:customStyle="1">
    <w:name w:val="Char Char Char Char Char Char Char Char Char Char"/>
    <w:basedOn w:val="716"/>
    <w:pPr>
      <w:ind w:left="420" w:hanging="420"/>
      <w:tabs>
        <w:tab w:val="left" w:pos="1545" w:leader="none"/>
      </w:tabs>
    </w:pPr>
    <w:rPr>
      <w:rFonts w:ascii="Times New Roman" w:hAnsi="Times New Roman" w:eastAsia="宋体" w:cs="Times New Roman"/>
      <w:sz w:val="24"/>
      <w:szCs w:val="24"/>
    </w:rPr>
  </w:style>
  <w:style w:type="paragraph" w:styleId="1047" w:customStyle="1">
    <w:name w:val="默认段落字体 Para Char Char Char Char Char Char Char Char Char Char Char Char Char"/>
    <w:basedOn w:val="716"/>
    <w:rPr>
      <w:rFonts w:ascii="Times New Roman" w:hAnsi="Times New Roman" w:eastAsia="宋体" w:cs="Times New Roman"/>
      <w:szCs w:val="24"/>
    </w:rPr>
  </w:style>
  <w:style w:type="paragraph" w:styleId="1048" w:customStyle="1">
    <w:name w:val="xl49"/>
    <w:basedOn w:val="71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49" w:customStyle="1">
    <w:name w:val="msonormal msonormal"/>
    <w:basedOn w:val="716"/>
    <w:pPr>
      <w:jc w:val="left"/>
      <w:spacing w:before="100" w:beforeAutospacing="1" w:after="100" w:afterAutospacing="1"/>
      <w:widowControl/>
    </w:pPr>
    <w:rPr>
      <w:rFonts w:ascii="宋体" w:hAnsi="宋体" w:eastAsia="宋体" w:cs="宋体"/>
      <w:sz w:val="24"/>
      <w:szCs w:val="24"/>
    </w:rPr>
  </w:style>
  <w:style w:type="paragraph" w:styleId="1050" w:customStyle="1">
    <w:name w:val="xl56"/>
    <w:basedOn w:val="716"/>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51" w:customStyle="1">
    <w:name w:val="xl52"/>
    <w:basedOn w:val="716"/>
    <w:pPr>
      <w:jc w:val="right"/>
      <w:spacing w:before="100" w:beforeAutospacing="1" w:after="100" w:afterAutospacing="1"/>
      <w:widowControl/>
    </w:pPr>
    <w:rPr>
      <w:rFonts w:ascii="Times New Roman" w:hAnsi="Times New Roman" w:eastAsia="宋体" w:cs="Times New Roman"/>
      <w:sz w:val="18"/>
      <w:szCs w:val="18"/>
    </w:rPr>
  </w:style>
  <w:style w:type="paragraph" w:styleId="1052" w:customStyle="1">
    <w:name w:val="msonormalindent msonormalindent"/>
    <w:basedOn w:val="716"/>
    <w:pPr>
      <w:jc w:val="left"/>
      <w:spacing w:before="100" w:beforeAutospacing="1" w:after="100" w:afterAutospacing="1"/>
      <w:widowControl/>
    </w:pPr>
    <w:rPr>
      <w:rFonts w:ascii="宋体" w:hAnsi="宋体" w:eastAsia="宋体" w:cs="宋体"/>
      <w:sz w:val="24"/>
      <w:szCs w:val="24"/>
    </w:rPr>
  </w:style>
  <w:style w:type="paragraph" w:styleId="1053" w:customStyle="1">
    <w:name w:val="xl57"/>
    <w:basedOn w:val="716"/>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54" w:customStyle="1">
    <w:name w:val="xl30"/>
    <w:basedOn w:val="71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55" w:customStyle="1">
    <w:name w:val="xl39"/>
    <w:basedOn w:val="716"/>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56" w:customStyle="1">
    <w:name w:val="Char Char Char Char1"/>
    <w:basedOn w:val="716"/>
    <w:pPr>
      <w:jc w:val="left"/>
      <w:widowControl/>
    </w:pPr>
    <w:rPr>
      <w:rFonts w:ascii="Tahoma" w:hAnsi="Tahoma" w:eastAsia="宋体" w:cs="Times New Roman"/>
      <w:sz w:val="24"/>
      <w:szCs w:val="20"/>
    </w:rPr>
  </w:style>
  <w:style w:type="paragraph" w:styleId="1057" w:customStyle="1">
    <w:name w:val="xl37"/>
    <w:basedOn w:val="716"/>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58" w:customStyle="1">
    <w:name w:val="xl46"/>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59" w:customStyle="1">
    <w:name w:val="Default"/>
    <w:pPr>
      <w:widowControl w:val="off"/>
    </w:pPr>
    <w:rPr>
      <w:rFonts w:ascii="宋体糭.飬.." w:eastAsia="宋体糭.飬.." w:cs="宋体糭.飬.."/>
      <w:color w:val="000000"/>
      <w:sz w:val="24"/>
      <w:szCs w:val="24"/>
    </w:rPr>
  </w:style>
  <w:style w:type="paragraph" w:styleId="1060" w:customStyle="1">
    <w:name w:val="Char2"/>
    <w:basedOn w:val="716"/>
    <w:rPr>
      <w:rFonts w:ascii="仿宋_GB2312" w:hAnsi="Times New Roman" w:eastAsia="仿宋_GB2312" w:cs="Times New Roman"/>
      <w:b/>
      <w:sz w:val="32"/>
      <w:szCs w:val="32"/>
    </w:rPr>
  </w:style>
  <w:style w:type="paragraph" w:styleId="1061" w:customStyle="1">
    <w:name w:val="Char Char Char Char Char Char Char Char1 Char Char Char Char"/>
    <w:basedOn w:val="734"/>
    <w:pPr>
      <w:jc w:val="both"/>
      <w:spacing w:line="360" w:lineRule="auto"/>
      <w:widowControl w:val="off"/>
    </w:pPr>
    <w:rPr>
      <w:rFonts w:ascii="宋体"/>
      <w:sz w:val="18"/>
      <w:szCs w:val="18"/>
    </w:rPr>
  </w:style>
  <w:style w:type="paragraph" w:styleId="1062" w:customStyle="1">
    <w:name w:val="xl44"/>
    <w:basedOn w:val="71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63" w:customStyle="1">
    <w:name w:val="xl72"/>
    <w:basedOn w:val="71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64" w:customStyle="1">
    <w:name w:val="font5"/>
    <w:basedOn w:val="716"/>
    <w:pPr>
      <w:jc w:val="left"/>
      <w:spacing w:before="100" w:beforeAutospacing="1" w:after="100" w:afterAutospacing="1"/>
      <w:widowControl/>
    </w:pPr>
    <w:rPr>
      <w:rFonts w:ascii="宋体" w:hAnsi="宋体" w:eastAsia="宋体" w:cs="宋体"/>
      <w:sz w:val="18"/>
      <w:szCs w:val="18"/>
    </w:rPr>
  </w:style>
  <w:style w:type="paragraph" w:styleId="1065" w:customStyle="1">
    <w:name w:val="xl70"/>
    <w:basedOn w:val="71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6" w:customStyle="1">
    <w:name w:val="font6"/>
    <w:basedOn w:val="716"/>
    <w:pPr>
      <w:jc w:val="left"/>
      <w:spacing w:before="100" w:beforeAutospacing="1" w:after="100" w:afterAutospacing="1"/>
      <w:widowControl/>
    </w:pPr>
    <w:rPr>
      <w:rFonts w:ascii="宋体" w:hAnsi="宋体" w:eastAsia="宋体" w:cs="宋体"/>
      <w:b/>
      <w:bCs/>
      <w:sz w:val="18"/>
      <w:szCs w:val="18"/>
    </w:rPr>
  </w:style>
  <w:style w:type="paragraph" w:styleId="1067" w:customStyle="1">
    <w:name w:val="xl68"/>
    <w:basedOn w:val="71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8" w:customStyle="1">
    <w:name w:val="xl67"/>
    <w:basedOn w:val="71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9" w:customStyle="1">
    <w:name w:val="xl60"/>
    <w:basedOn w:val="716"/>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70" w:customStyle="1">
    <w:name w:val="纯文本11"/>
    <w:basedOn w:val="716"/>
    <w:qFormat/>
    <w:rPr>
      <w:rFonts w:ascii="宋体" w:hAnsi="Courier New" w:eastAsia="楷体_GB2312" w:cs="Times New Roman"/>
      <w:sz w:val="26"/>
      <w:szCs w:val="24"/>
    </w:rPr>
  </w:style>
  <w:style w:type="paragraph" w:styleId="1071" w:customStyle="1">
    <w:name w:val="Blockquote"/>
    <w:basedOn w:val="716"/>
    <w:pPr>
      <w:ind w:left="360" w:right="360"/>
      <w:jc w:val="left"/>
      <w:spacing w:before="100" w:after="100"/>
    </w:pPr>
    <w:rPr>
      <w:rFonts w:ascii="Times New Roman" w:hAnsi="Times New Roman" w:eastAsia="楷体_GB2312" w:cs="Times New Roman"/>
      <w:sz w:val="24"/>
      <w:szCs w:val="20"/>
    </w:rPr>
  </w:style>
  <w:style w:type="paragraph" w:styleId="1072" w:customStyle="1">
    <w:name w:val="纯文本111"/>
    <w:basedOn w:val="716"/>
    <w:qFormat/>
    <w:rPr>
      <w:rFonts w:ascii="宋体" w:hAnsi="Courier New" w:eastAsia="楷体_GB2312" w:cs="Times New Roman"/>
      <w:sz w:val="28"/>
      <w:szCs w:val="20"/>
    </w:rPr>
  </w:style>
  <w:style w:type="paragraph" w:styleId="1073" w:customStyle="1">
    <w:name w:val="首行缩进"/>
    <w:basedOn w:val="716"/>
    <w:qFormat/>
    <w:pPr>
      <w:ind w:firstLine="480"/>
      <w:jc w:val="left"/>
      <w:spacing w:line="360" w:lineRule="auto"/>
    </w:pPr>
    <w:rPr>
      <w:rFonts w:ascii="宋体" w:hAnsi="宋体" w:eastAsia="宋体" w:cs="Times New Roman"/>
      <w:sz w:val="24"/>
      <w:szCs w:val="24"/>
    </w:rPr>
  </w:style>
  <w:style w:type="paragraph" w:styleId="1074" w:customStyle="1">
    <w:name w:val="Char Char Char Char Char Char Char Char Char1 Char"/>
    <w:basedOn w:val="734"/>
    <w:pPr>
      <w:jc w:val="both"/>
      <w:spacing w:line="360" w:lineRule="auto"/>
      <w:widowControl w:val="off"/>
    </w:pPr>
  </w:style>
  <w:style w:type="paragraph" w:styleId="1075" w:customStyle="1">
    <w:name w:val="Char Char Char1"/>
    <w:basedOn w:val="716"/>
    <w:rPr>
      <w:rFonts w:ascii="Tahoma" w:hAnsi="Tahoma" w:eastAsia="宋体" w:cs="Times New Roman"/>
      <w:sz w:val="24"/>
      <w:szCs w:val="20"/>
    </w:rPr>
  </w:style>
  <w:style w:type="paragraph" w:styleId="1076" w:customStyle="1">
    <w:name w:val="xl54"/>
    <w:basedOn w:val="716"/>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77" w:customStyle="1">
    <w:name w:val="xl42"/>
    <w:basedOn w:val="71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78" w:customStyle="1">
    <w:name w:val="网格型1"/>
    <w:basedOn w:val="727"/>
    <w:uiPriority w:val="59"/>
    <w:unhideWhenUsed/>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9" w:customStyle="1">
    <w:name w:val="NormalCharacter"/>
    <w:qFormat/>
    <w:rPr>
      <w:rFonts w:ascii="Calibri" w:hAnsi="Calibri" w:eastAsia="宋体"/>
    </w:rPr>
  </w:style>
  <w:style w:type="character" w:styleId="1080" w:customStyle="1">
    <w:name w:val="正文缩进 字符"/>
    <w:qFormat/>
    <w:rPr>
      <w:rFonts w:eastAsia="楷体_GB2312"/>
      <w:sz w:val="24"/>
      <w:lang w:bidi="ar-SA"/>
    </w:rPr>
  </w:style>
  <w:style w:type="paragraph" w:styleId="1081" w:customStyle="1">
    <w:name w:val="+正文"/>
    <w:basedOn w:val="716"/>
    <w:qFormat/>
    <w:pPr>
      <w:ind w:firstLine="200"/>
      <w:spacing w:line="360" w:lineRule="auto"/>
    </w:pPr>
    <w:rPr>
      <w:rFonts w:ascii="Times New Roman" w:hAnsi="Times New Roman" w:eastAsia="宋体" w:cs="Times New Roman"/>
      <w:szCs w:val="28"/>
    </w:rPr>
  </w:style>
  <w:style w:type="character" w:styleId="1082" w:customStyle="1">
    <w:name w:val="纯文本 Char1"/>
    <w:uiPriority w:val="99"/>
    <w:semiHidden/>
    <w:rPr>
      <w:rFonts w:ascii="宋体" w:hAnsi="Courier New" w:eastAsia="宋体" w:cs="Courier New"/>
      <w:szCs w:val="21"/>
    </w:rPr>
  </w:style>
  <w:style w:type="character" w:styleId="1083" w:customStyle="1">
    <w:name w:val="标题 6 Char"/>
    <w:rPr>
      <w:rFonts w:ascii="宋体" w:hAnsi="宋体" w:eastAsia="宋体" w:cs="Times New Roman"/>
      <w:sz w:val="28"/>
      <w:szCs w:val="20"/>
    </w:rPr>
  </w:style>
  <w:style w:type="character" w:styleId="1084" w:customStyle="1">
    <w:name w:val="日期 Char1"/>
    <w:uiPriority w:val="99"/>
    <w:semiHidden/>
    <w:rPr>
      <w:rFonts w:ascii="Times New Roman" w:hAnsi="Times New Roman" w:eastAsia="宋体" w:cs="Times New Roman"/>
      <w:sz w:val="24"/>
      <w:szCs w:val="24"/>
    </w:rPr>
  </w:style>
  <w:style w:type="paragraph" w:styleId="1085" w:customStyle="1">
    <w:name w:val="列出段落1"/>
    <w:basedOn w:val="716"/>
    <w:uiPriority w:val="34"/>
    <w:qFormat/>
    <w:pPr>
      <w:ind w:firstLine="420"/>
    </w:pPr>
    <w:rPr>
      <w:rFonts w:ascii="Times New Roman" w:hAnsi="Times New Roman" w:eastAsia="宋体" w:cs="Times New Roman"/>
      <w:szCs w:val="24"/>
    </w:rPr>
  </w:style>
  <w:style w:type="paragraph" w:styleId="1086" w:customStyle="1">
    <w:name w:val="修订1"/>
    <w:hidden/>
    <w:uiPriority w:val="99"/>
    <w:unhideWhenUsed/>
    <w:rPr>
      <w:sz w:val="24"/>
      <w:szCs w:val="24"/>
    </w:rPr>
  </w:style>
  <w:style w:type="character" w:styleId="1087" w:customStyle="1">
    <w:name w:val="正文文本首行缩进 2 字符"/>
    <w:basedOn w:val="948"/>
    <w:link w:val="766"/>
    <w:uiPriority w:val="99"/>
    <w:semiHidden/>
    <w:rPr>
      <w:rFonts w:ascii="Times New Roman" w:hAnsi="Times New Roman" w:eastAsia="宋体" w:cs="Times New Roman"/>
      <w:sz w:val="24"/>
      <w:szCs w:val="24"/>
      <w:lang w:val="zh-CN" w:eastAsia="zh-CN"/>
    </w:rPr>
  </w:style>
  <w:style w:type="paragraph" w:styleId="1088" w:customStyle="1">
    <w:name w:val="格式4"/>
    <w:basedOn w:val="716"/>
    <w:qFormat/>
    <w:pPr>
      <w:ind w:left="450" w:hanging="150"/>
      <w:spacing w:line="420" w:lineRule="exact"/>
    </w:pPr>
    <w:rPr>
      <w:rFonts w:ascii="宋体" w:hAnsi="Times New Roman" w:eastAsia="楷体_GB2312" w:cs="Times New Roman"/>
      <w:color w:val="000000"/>
      <w:sz w:val="26"/>
      <w:szCs w:val="20"/>
    </w:rPr>
  </w:style>
  <w:style w:type="paragraph" w:styleId="1089" w:customStyle="1">
    <w:name w:val="正文缩进1"/>
    <w:basedOn w:val="716"/>
    <w:next w:val="716"/>
    <w:qFormat/>
    <w:pPr>
      <w:ind w:firstLine="420"/>
      <w:jc w:val="left"/>
    </w:pPr>
    <w:rPr>
      <w:rFonts w:ascii="Times New Roman" w:hAnsi="Times New Roman" w:eastAsia="楷体_GB2312" w:cs="Times New Roman"/>
      <w:sz w:val="24"/>
      <w:szCs w:val="20"/>
    </w:rPr>
  </w:style>
  <w:style w:type="character" w:styleId="1090" w:customStyle="1">
    <w:name w:val="超链接1"/>
    <w:uiPriority w:val="99"/>
    <w:qFormat/>
    <w:rPr>
      <w:rFonts w:ascii="Times New Roman" w:hAnsi="Times New Roman" w:eastAsia="宋体" w:cs="Times New Roman"/>
      <w:color w:val="0000ff"/>
      <w:u w:val="single"/>
    </w:rPr>
  </w:style>
  <w:style w:type="character" w:styleId="1091" w:customStyle="1">
    <w:name w:val="要点1"/>
    <w:basedOn w:val="726"/>
    <w:qFormat/>
    <w:rPr>
      <w:rFonts w:ascii="Times New Roman" w:hAnsi="Times New Roman" w:eastAsia="宋体" w:cs="Times New Roman"/>
      <w:b/>
    </w:rPr>
  </w:style>
  <w:style w:type="paragraph" w:styleId="1092" w:customStyle="1">
    <w:name w:val="纯文本2"/>
    <w:basedOn w:val="716"/>
    <w:qFormat/>
    <w:rPr>
      <w:rFonts w:hint="eastAsia" w:ascii="宋体" w:hAnsi="Courier New" w:eastAsia="楷体_GB2312" w:cs="Times New Roman"/>
      <w:sz w:val="28"/>
      <w:szCs w:val="20"/>
    </w:rPr>
  </w:style>
  <w:style w:type="paragraph" w:styleId="1093" w:customStyle="1">
    <w:name w:val="修订2"/>
    <w:hidden/>
    <w:uiPriority w:val="99"/>
    <w:unhideWhenUsed/>
    <w:rPr>
      <w:rFonts w:asciiTheme="minorHAnsi" w:hAnsiTheme="minorHAnsi" w:eastAsiaTheme="minorEastAsia" w:cstheme="minorBidi"/>
      <w:sz w:val="21"/>
      <w:szCs w:val="22"/>
    </w:rPr>
  </w:style>
  <w:style w:type="paragraph" w:styleId="1094">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魏铁军</cp:lastModifiedBy>
  <cp:revision>12</cp:revision>
  <dcterms:created xsi:type="dcterms:W3CDTF">2025-10-30T07:17:00Z</dcterms:created>
  <dcterms:modified xsi:type="dcterms:W3CDTF">2025-10-31T08:17:18Z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58397EC880371185ED72016906C0BBBA_43</vt:lpwstr>
  </property>
</Properties>
</file>